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E86EA" w14:textId="77777777" w:rsidR="001C3BC8" w:rsidRDefault="001C3BC8" w:rsidP="001C3BC8">
      <w:pPr>
        <w:rPr>
          <w:rFonts w:asciiTheme="majorHAnsi" w:hAnsiTheme="majorHAnsi" w:cstheme="majorHAnsi"/>
          <w:b/>
        </w:rPr>
      </w:pPr>
    </w:p>
    <w:p w14:paraId="51B2559C" w14:textId="77777777" w:rsidR="001C3BC8" w:rsidRDefault="001C3BC8" w:rsidP="001C3BC8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73392E8" w14:textId="4AD7BE74" w:rsidR="001C3BC8" w:rsidRPr="001C3BC8" w:rsidRDefault="001C3BC8" w:rsidP="001C3BC8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1C3BC8">
        <w:rPr>
          <w:rFonts w:asciiTheme="majorHAnsi" w:hAnsiTheme="majorHAnsi" w:cstheme="majorHAnsi"/>
          <w:b/>
          <w:sz w:val="40"/>
          <w:szCs w:val="40"/>
        </w:rPr>
        <w:t xml:space="preserve">Potential </w:t>
      </w:r>
      <w:proofErr w:type="spellStart"/>
      <w:r w:rsidRPr="001C3BC8">
        <w:rPr>
          <w:rFonts w:asciiTheme="majorHAnsi" w:hAnsiTheme="majorHAnsi" w:cstheme="majorHAnsi"/>
          <w:b/>
          <w:sz w:val="40"/>
          <w:szCs w:val="40"/>
        </w:rPr>
        <w:t>RoI</w:t>
      </w:r>
      <w:proofErr w:type="spellEnd"/>
      <w:r w:rsidRPr="001C3BC8">
        <w:rPr>
          <w:rFonts w:asciiTheme="majorHAnsi" w:hAnsiTheme="majorHAnsi" w:cstheme="majorHAnsi"/>
          <w:b/>
          <w:sz w:val="40"/>
          <w:szCs w:val="40"/>
        </w:rPr>
        <w:t xml:space="preserve"> using </w:t>
      </w:r>
      <w:proofErr w:type="spellStart"/>
      <w:r w:rsidRPr="001C3BC8">
        <w:rPr>
          <w:rFonts w:asciiTheme="majorHAnsi" w:hAnsiTheme="majorHAnsi" w:cstheme="majorHAnsi"/>
          <w:b/>
          <w:sz w:val="40"/>
          <w:szCs w:val="40"/>
        </w:rPr>
        <w:t>Deontics</w:t>
      </w:r>
      <w:proofErr w:type="spellEnd"/>
      <w:r w:rsidRPr="001C3BC8">
        <w:rPr>
          <w:rFonts w:asciiTheme="majorHAnsi" w:hAnsiTheme="majorHAnsi" w:cstheme="majorHAnsi"/>
          <w:b/>
          <w:sz w:val="40"/>
          <w:szCs w:val="40"/>
        </w:rPr>
        <w:t xml:space="preserve"> CDSS</w:t>
      </w:r>
    </w:p>
    <w:p w14:paraId="509795C3" w14:textId="77777777" w:rsidR="001C3BC8" w:rsidRDefault="001C3BC8" w:rsidP="001C3BC8">
      <w:pPr>
        <w:rPr>
          <w:rFonts w:asciiTheme="majorHAnsi" w:hAnsiTheme="majorHAnsi" w:cstheme="majorHAnsi"/>
        </w:rPr>
      </w:pPr>
    </w:p>
    <w:p w14:paraId="62593E9E" w14:textId="77777777" w:rsidR="001C3BC8" w:rsidRDefault="001C3BC8" w:rsidP="001C3BC8">
      <w:pPr>
        <w:jc w:val="both"/>
        <w:rPr>
          <w:rFonts w:ascii="Calibri" w:hAnsi="Calibri" w:cs="Calibri"/>
          <w:szCs w:val="24"/>
        </w:rPr>
      </w:pPr>
      <w:r w:rsidRPr="00795126">
        <w:rPr>
          <w:rFonts w:ascii="Calibri" w:hAnsi="Calibri" w:cs="Calibri"/>
          <w:szCs w:val="24"/>
        </w:rPr>
        <w:t>The clinical case for</w:t>
      </w:r>
      <w:r>
        <w:rPr>
          <w:rFonts w:ascii="Calibri" w:hAnsi="Calibri" w:cs="Calibri"/>
          <w:szCs w:val="24"/>
        </w:rPr>
        <w:t xml:space="preserve"> CDS</w:t>
      </w:r>
      <w:r w:rsidRPr="00795126">
        <w:rPr>
          <w:rFonts w:ascii="Calibri" w:hAnsi="Calibri" w:cs="Calibri"/>
          <w:szCs w:val="24"/>
        </w:rPr>
        <w:t xml:space="preserve"> is well established; the benefits have been thoroughly documented in many scholarly journals. </w:t>
      </w:r>
    </w:p>
    <w:p w14:paraId="14C41901" w14:textId="77777777" w:rsidR="001C3BC8" w:rsidRPr="00795126" w:rsidRDefault="001C3BC8" w:rsidP="001C3BC8">
      <w:pPr>
        <w:jc w:val="both"/>
        <w:rPr>
          <w:rFonts w:ascii="Calibri" w:hAnsi="Calibri" w:cs="Calibri"/>
          <w:szCs w:val="24"/>
        </w:rPr>
      </w:pPr>
    </w:p>
    <w:p w14:paraId="41FFFA87" w14:textId="77777777" w:rsidR="001C3BC8" w:rsidRPr="00795126" w:rsidRDefault="001C3BC8" w:rsidP="001C3BC8">
      <w:pPr>
        <w:jc w:val="both"/>
        <w:rPr>
          <w:rFonts w:ascii="Calibri" w:hAnsi="Calibri" w:cs="Calibri"/>
          <w:szCs w:val="24"/>
        </w:rPr>
      </w:pPr>
      <w:r w:rsidRPr="00795126">
        <w:rPr>
          <w:rFonts w:ascii="Calibri" w:hAnsi="Calibri" w:cs="Calibri"/>
          <w:szCs w:val="24"/>
        </w:rPr>
        <w:t>Most of these benefits, while of course valuable, are based on a relatively limited range of quality-improving “safety net” interventions built into electronic patient records (EPRs) and related modules (such as electronic prescribing). As EPRs have become established as a fundamental platform for modern and effective care delivery, the limitations</w:t>
      </w:r>
      <w:r>
        <w:rPr>
          <w:rFonts w:ascii="Calibri" w:hAnsi="Calibri" w:cs="Calibri"/>
          <w:szCs w:val="24"/>
        </w:rPr>
        <w:t xml:space="preserve"> of such</w:t>
      </w:r>
      <w:r w:rsidRPr="00795126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EPR CDS (usually decision tree based)</w:t>
      </w:r>
      <w:r w:rsidRPr="00795126">
        <w:rPr>
          <w:rFonts w:ascii="Calibri" w:hAnsi="Calibri" w:cs="Calibri"/>
          <w:szCs w:val="24"/>
        </w:rPr>
        <w:t xml:space="preserve"> have become clear. “Off the shelf” drug-interaction databases, for example, are effective and invaluable. </w:t>
      </w:r>
      <w:r>
        <w:rPr>
          <w:rFonts w:ascii="Calibri" w:hAnsi="Calibri" w:cs="Calibri"/>
          <w:szCs w:val="24"/>
        </w:rPr>
        <w:t>However, m</w:t>
      </w:r>
      <w:r w:rsidRPr="00795126">
        <w:rPr>
          <w:rFonts w:ascii="Calibri" w:hAnsi="Calibri" w:cs="Calibri"/>
          <w:szCs w:val="24"/>
        </w:rPr>
        <w:t xml:space="preserve">ore complex decision support – such as helping to ensure that care is provided in accordance with the best available evidence – is far harder to sustain within available EPRs. </w:t>
      </w:r>
    </w:p>
    <w:p w14:paraId="143AEB9B" w14:textId="77777777" w:rsidR="001C3BC8" w:rsidRDefault="001C3BC8" w:rsidP="001C3BC8">
      <w:pPr>
        <w:rPr>
          <w:rFonts w:ascii="Calibri" w:hAnsi="Calibri" w:cs="Calibri"/>
          <w:b/>
          <w:szCs w:val="24"/>
        </w:rPr>
      </w:pPr>
    </w:p>
    <w:p w14:paraId="336D55A1" w14:textId="77777777" w:rsidR="001C3BC8" w:rsidRPr="00795126" w:rsidRDefault="001C3BC8" w:rsidP="001C3BC8">
      <w:pPr>
        <w:rPr>
          <w:rFonts w:ascii="Calibri" w:hAnsi="Calibri" w:cs="Calibri"/>
          <w:szCs w:val="24"/>
        </w:rPr>
      </w:pPr>
      <w:bookmarkStart w:id="0" w:name="_Hlk3299073"/>
      <w:r w:rsidRPr="00795126">
        <w:rPr>
          <w:rFonts w:ascii="Calibri" w:hAnsi="Calibri" w:cs="Calibri"/>
          <w:b/>
          <w:szCs w:val="24"/>
        </w:rPr>
        <w:t>Clinical Examples</w:t>
      </w:r>
    </w:p>
    <w:p w14:paraId="047ABD6F" w14:textId="77777777" w:rsidR="001C3BC8" w:rsidRPr="00795126" w:rsidRDefault="001C3BC8" w:rsidP="001C3BC8">
      <w:pPr>
        <w:rPr>
          <w:rFonts w:ascii="Calibri" w:hAnsi="Calibri" w:cs="Calibri"/>
          <w:szCs w:val="24"/>
        </w:rPr>
      </w:pPr>
      <w:r w:rsidRPr="00795126">
        <w:rPr>
          <w:rFonts w:ascii="Calibri" w:hAnsi="Calibri" w:cs="Calibr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A4E46B" wp14:editId="7BDB9F41">
                <wp:simplePos x="0" y="0"/>
                <wp:positionH relativeFrom="column">
                  <wp:posOffset>2773045</wp:posOffset>
                </wp:positionH>
                <wp:positionV relativeFrom="paragraph">
                  <wp:posOffset>308610</wp:posOffset>
                </wp:positionV>
                <wp:extent cx="4019550" cy="2312670"/>
                <wp:effectExtent l="0" t="0" r="1905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31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E9E8D" w14:textId="77777777" w:rsidR="001C3BC8" w:rsidRPr="00795126" w:rsidRDefault="001C3BC8" w:rsidP="001C3BC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795126">
                              <w:rPr>
                                <w:rFonts w:ascii="Calibri" w:hAnsi="Calibri" w:cs="Calibri"/>
                                <w:b/>
                              </w:rPr>
                              <w:t xml:space="preserve">Clinical Illustrations of </w:t>
                            </w:r>
                            <w:proofErr w:type="spellStart"/>
                            <w:r w:rsidRPr="00795126">
                              <w:rPr>
                                <w:rFonts w:ascii="Calibri" w:hAnsi="Calibri" w:cs="Calibri"/>
                                <w:b/>
                              </w:rPr>
                              <w:t>Deontics</w:t>
                            </w:r>
                            <w:proofErr w:type="spellEnd"/>
                            <w:r w:rsidRPr="00795126">
                              <w:rPr>
                                <w:rFonts w:ascii="Calibri" w:hAnsi="Calibri" w:cs="Calibri"/>
                                <w:b/>
                              </w:rPr>
                              <w:t>’ Effectiveness</w:t>
                            </w:r>
                          </w:p>
                          <w:p w14:paraId="5075548C" w14:textId="77777777" w:rsidR="001C3BC8" w:rsidRPr="00795126" w:rsidRDefault="001C3BC8" w:rsidP="001C3BC8">
                            <w:pPr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795126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 xml:space="preserve">Colon Cancer:  [reference 1] </w:t>
                            </w:r>
                            <w:r w:rsidRPr="00795126">
                              <w:rPr>
                                <w:rFonts w:ascii="Calibri" w:hAnsi="Calibri" w:cs="Calibri"/>
                                <w:sz w:val="20"/>
                              </w:rPr>
                              <w:t>Patients with Stage II colorectal cancer used a decision aid to assess different treatment strategies. Presented with evidence of outcome probabilities, 90% patients declined unnecessary adjuvant chemotherapy. Potentially saving the NHS £77M p.a.</w:t>
                            </w:r>
                          </w:p>
                          <w:p w14:paraId="40396A15" w14:textId="77777777" w:rsidR="001C3BC8" w:rsidRPr="00795126" w:rsidRDefault="001C3BC8" w:rsidP="001C3BC8">
                            <w:pPr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795126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 xml:space="preserve">Breast Cancer: [reference 2 &amp; 3] </w:t>
                            </w:r>
                            <w:r w:rsidRPr="00795126">
                              <w:rPr>
                                <w:rFonts w:ascii="Calibri" w:hAnsi="Calibri" w:cs="Calibri"/>
                                <w:sz w:val="20"/>
                              </w:rPr>
                              <w:t xml:space="preserve">More patients were treated in accordance with guidelines (97% vs 93%); </w:t>
                            </w:r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1% critical errors with </w:t>
                            </w:r>
                            <w:proofErr w:type="spellStart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Deontics</w:t>
                            </w:r>
                            <w:proofErr w:type="spellEnd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 vs. 13% without </w:t>
                            </w:r>
                            <w:proofErr w:type="spellStart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Deontics</w:t>
                            </w:r>
                            <w:proofErr w:type="spellEnd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 AI</w:t>
                            </w:r>
                            <w:r w:rsidRPr="00795126">
                              <w:rPr>
                                <w:rFonts w:ascii="Calibri" w:hAnsi="Calibri" w:cs="Calibri"/>
                                <w:sz w:val="20"/>
                              </w:rPr>
                              <w:t xml:space="preserve">; over 60% more trial-eligible patients identified. </w:t>
                            </w:r>
                          </w:p>
                          <w:p w14:paraId="75A77EB1" w14:textId="77777777" w:rsidR="001C3BC8" w:rsidRPr="00795126" w:rsidRDefault="001C3BC8" w:rsidP="001C3BC8">
                            <w:pPr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795126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 xml:space="preserve">Renal transplant: [reference 4] </w:t>
                            </w:r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 xml:space="preserve">Retrospective analysis using </w:t>
                            </w:r>
                            <w:proofErr w:type="spellStart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Deontics</w:t>
                            </w:r>
                            <w:proofErr w:type="spellEnd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 xml:space="preserve"> of actual live kidney donors showed that 41% of those who had undergone nephrectomy had major</w:t>
                            </w:r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contraindications to nephrectomy</w:t>
                            </w:r>
                          </w:p>
                          <w:p w14:paraId="35B44F0D" w14:textId="77777777" w:rsidR="001C3BC8" w:rsidRPr="00795126" w:rsidRDefault="001C3BC8" w:rsidP="001C3BC8">
                            <w:pPr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795126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>Leukaemia: [reference 5]</w:t>
                            </w:r>
                            <w:r w:rsidRPr="00795126">
                              <w:rPr>
                                <w:rFonts w:ascii="Calibri" w:hAnsi="Calibri" w:cs="Calibri"/>
                                <w:sz w:val="20"/>
                              </w:rPr>
                              <w:t xml:space="preserve"> </w:t>
                            </w:r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0% errors with </w:t>
                            </w:r>
                            <w:proofErr w:type="spellStart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Deontics</w:t>
                            </w:r>
                            <w:proofErr w:type="spellEnd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 treating childhood leukaemia vs. 37% without </w:t>
                            </w:r>
                            <w:proofErr w:type="spellStart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Deontics</w:t>
                            </w:r>
                            <w:proofErr w:type="spellEnd"/>
                            <w:r w:rsidRPr="00795126">
                              <w:rPr>
                                <w:rFonts w:ascii="Calibri" w:eastAsiaTheme="minorEastAsia" w:hAnsi="Calibri" w:cs="Calibri"/>
                                <w:kern w:val="24"/>
                                <w:sz w:val="20"/>
                              </w:rPr>
                              <w:t> AI</w:t>
                            </w:r>
                          </w:p>
                          <w:p w14:paraId="61497E36" w14:textId="77777777" w:rsidR="001C3BC8" w:rsidRPr="00775947" w:rsidRDefault="001C3BC8" w:rsidP="001C3BC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4E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35pt;margin-top:24.3pt;width:316.5pt;height:18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">
                <v:textbox>
                  <w:txbxContent>
                    <w:p w14:paraId="2DDE9E8D" w14:textId="77777777" w:rsidR="001C3BC8" w:rsidRPr="00795126" w:rsidRDefault="001C3BC8" w:rsidP="001C3BC8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795126">
                        <w:rPr>
                          <w:rFonts w:ascii="Calibri" w:hAnsi="Calibri" w:cs="Calibri"/>
                          <w:b/>
                        </w:rPr>
                        <w:t xml:space="preserve">Clinical Illustrations of </w:t>
                      </w:r>
                      <w:proofErr w:type="spellStart"/>
                      <w:r w:rsidRPr="00795126">
                        <w:rPr>
                          <w:rFonts w:ascii="Calibri" w:hAnsi="Calibri" w:cs="Calibri"/>
                          <w:b/>
                        </w:rPr>
                        <w:t>Deontics</w:t>
                      </w:r>
                      <w:proofErr w:type="spellEnd"/>
                      <w:r w:rsidRPr="00795126">
                        <w:rPr>
                          <w:rFonts w:ascii="Calibri" w:hAnsi="Calibri" w:cs="Calibri"/>
                          <w:b/>
                        </w:rPr>
                        <w:t>’ Effectiveness</w:t>
                      </w:r>
                    </w:p>
                    <w:p w14:paraId="5075548C" w14:textId="77777777" w:rsidR="001C3BC8" w:rsidRPr="00795126" w:rsidRDefault="001C3BC8" w:rsidP="001C3BC8">
                      <w:pPr>
                        <w:rPr>
                          <w:rFonts w:ascii="Calibri" w:hAnsi="Calibri" w:cs="Calibri"/>
                          <w:sz w:val="20"/>
                        </w:rPr>
                      </w:pPr>
                      <w:r w:rsidRPr="00795126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 xml:space="preserve">Colon Cancer:  [reference 1] </w:t>
                      </w:r>
                      <w:r w:rsidRPr="00795126">
                        <w:rPr>
                          <w:rFonts w:ascii="Calibri" w:hAnsi="Calibri" w:cs="Calibri"/>
                          <w:sz w:val="20"/>
                        </w:rPr>
                        <w:t>Patients with Stage II colorectal cancer used a decision aid to assess different treatment strategies. Presented with evidence of outcome probabilities, 90% patients declined unnecessary adjuvant chemotherapy. Potentially saving the NHS £77M p.a.</w:t>
                      </w:r>
                    </w:p>
                    <w:p w14:paraId="40396A15" w14:textId="77777777" w:rsidR="001C3BC8" w:rsidRPr="00795126" w:rsidRDefault="001C3BC8" w:rsidP="001C3BC8">
                      <w:pPr>
                        <w:rPr>
                          <w:rFonts w:ascii="Calibri" w:hAnsi="Calibri" w:cs="Calibri"/>
                          <w:sz w:val="20"/>
                        </w:rPr>
                      </w:pPr>
                      <w:r w:rsidRPr="00795126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 xml:space="preserve">Breast Cancer: [reference 2 &amp; 3] </w:t>
                      </w:r>
                      <w:r w:rsidRPr="00795126">
                        <w:rPr>
                          <w:rFonts w:ascii="Calibri" w:hAnsi="Calibri" w:cs="Calibri"/>
                          <w:sz w:val="20"/>
                        </w:rPr>
                        <w:t xml:space="preserve">More patients were treated in accordance with guidelines (97% vs 93%); </w:t>
                      </w:r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1% critical errors with </w:t>
                      </w:r>
                      <w:proofErr w:type="spellStart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Deontics</w:t>
                      </w:r>
                      <w:proofErr w:type="spellEnd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 vs. 13% without </w:t>
                      </w:r>
                      <w:proofErr w:type="spellStart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Deontics</w:t>
                      </w:r>
                      <w:proofErr w:type="spellEnd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 AI</w:t>
                      </w:r>
                      <w:r w:rsidRPr="00795126">
                        <w:rPr>
                          <w:rFonts w:ascii="Calibri" w:hAnsi="Calibri" w:cs="Calibri"/>
                          <w:sz w:val="20"/>
                        </w:rPr>
                        <w:t xml:space="preserve">; over 60% more trial-eligible patients identified. </w:t>
                      </w:r>
                    </w:p>
                    <w:p w14:paraId="75A77EB1" w14:textId="77777777" w:rsidR="001C3BC8" w:rsidRPr="00795126" w:rsidRDefault="001C3BC8" w:rsidP="001C3BC8">
                      <w:pPr>
                        <w:rPr>
                          <w:rFonts w:ascii="Calibri" w:hAnsi="Calibri" w:cs="Calibri"/>
                          <w:sz w:val="20"/>
                        </w:rPr>
                      </w:pPr>
                      <w:r w:rsidRPr="00795126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 xml:space="preserve">Renal transplant: [reference 4] </w:t>
                      </w:r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 xml:space="preserve">Retrospective analysis using </w:t>
                      </w:r>
                      <w:proofErr w:type="spellStart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Deontics</w:t>
                      </w:r>
                      <w:proofErr w:type="spellEnd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 xml:space="preserve"> of actual live kidney donors showed that 41% of those who had undergone nephrectomy had major</w:t>
                      </w:r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contraindications to nephrectomy</w:t>
                      </w:r>
                    </w:p>
                    <w:p w14:paraId="35B44F0D" w14:textId="77777777" w:rsidR="001C3BC8" w:rsidRPr="00795126" w:rsidRDefault="001C3BC8" w:rsidP="001C3BC8">
                      <w:pPr>
                        <w:rPr>
                          <w:rFonts w:ascii="Calibri" w:hAnsi="Calibri" w:cs="Calibri"/>
                          <w:sz w:val="20"/>
                        </w:rPr>
                      </w:pPr>
                      <w:r w:rsidRPr="00795126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>Leukaemia: [reference 5]</w:t>
                      </w:r>
                      <w:r w:rsidRPr="00795126">
                        <w:rPr>
                          <w:rFonts w:ascii="Calibri" w:hAnsi="Calibri" w:cs="Calibri"/>
                          <w:sz w:val="20"/>
                        </w:rPr>
                        <w:t xml:space="preserve"> </w:t>
                      </w:r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0% errors with </w:t>
                      </w:r>
                      <w:proofErr w:type="spellStart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Deontics</w:t>
                      </w:r>
                      <w:proofErr w:type="spellEnd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 treating childhood leukaemia vs. 37% without </w:t>
                      </w:r>
                      <w:proofErr w:type="spellStart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Deontics</w:t>
                      </w:r>
                      <w:proofErr w:type="spellEnd"/>
                      <w:r w:rsidRPr="00795126">
                        <w:rPr>
                          <w:rFonts w:ascii="Calibri" w:eastAsiaTheme="minorEastAsia" w:hAnsi="Calibri" w:cs="Calibri"/>
                          <w:kern w:val="24"/>
                          <w:sz w:val="20"/>
                        </w:rPr>
                        <w:t> AI</w:t>
                      </w:r>
                    </w:p>
                    <w:p w14:paraId="61497E36" w14:textId="77777777" w:rsidR="001C3BC8" w:rsidRPr="00775947" w:rsidRDefault="001C3BC8" w:rsidP="001C3BC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95126">
        <w:rPr>
          <w:rFonts w:ascii="Calibri" w:hAnsi="Calibri" w:cs="Calibri"/>
          <w:szCs w:val="24"/>
        </w:rPr>
        <w:t xml:space="preserve">Several clinical examples demonstrate the clinical effectiveness and financial return that </w:t>
      </w:r>
      <w:proofErr w:type="spellStart"/>
      <w:r w:rsidRPr="00795126">
        <w:rPr>
          <w:rFonts w:ascii="Calibri" w:hAnsi="Calibri" w:cs="Calibri"/>
          <w:szCs w:val="24"/>
        </w:rPr>
        <w:t>Deontics</w:t>
      </w:r>
      <w:proofErr w:type="spellEnd"/>
      <w:r w:rsidRPr="00795126">
        <w:rPr>
          <w:rFonts w:ascii="Calibri" w:hAnsi="Calibri" w:cs="Calibri"/>
          <w:szCs w:val="24"/>
        </w:rPr>
        <w:t>’ technology can</w:t>
      </w:r>
      <w:r>
        <w:rPr>
          <w:rFonts w:ascii="Calibri" w:hAnsi="Calibri" w:cs="Calibri"/>
          <w:szCs w:val="24"/>
        </w:rPr>
        <w:t xml:space="preserve"> bring</w:t>
      </w:r>
      <w:r w:rsidRPr="00795126">
        <w:rPr>
          <w:rFonts w:ascii="Calibri" w:hAnsi="Calibri" w:cs="Calibri"/>
          <w:szCs w:val="24"/>
        </w:rPr>
        <w:t>.</w:t>
      </w:r>
    </w:p>
    <w:p w14:paraId="73C20AC9" w14:textId="77777777" w:rsidR="001C3BC8" w:rsidRDefault="001C3BC8" w:rsidP="001C3BC8">
      <w:pPr>
        <w:rPr>
          <w:rFonts w:ascii="Calibri" w:hAnsi="Calibri" w:cs="Calibri"/>
          <w:szCs w:val="24"/>
        </w:rPr>
      </w:pPr>
    </w:p>
    <w:p w14:paraId="7624BB73" w14:textId="77777777" w:rsidR="001C3BC8" w:rsidRPr="00795126" w:rsidRDefault="001C3BC8" w:rsidP="001C3BC8">
      <w:pPr>
        <w:rPr>
          <w:rFonts w:ascii="Calibri" w:hAnsi="Calibri" w:cs="Calibri"/>
          <w:szCs w:val="24"/>
        </w:rPr>
      </w:pPr>
      <w:r w:rsidRPr="00795126">
        <w:rPr>
          <w:rFonts w:ascii="Calibri" w:hAnsi="Calibri" w:cs="Calibri"/>
          <w:szCs w:val="24"/>
        </w:rPr>
        <w:t xml:space="preserve">Each of these scholarly studies demonstrates the clinical utility of the </w:t>
      </w:r>
      <w:proofErr w:type="spellStart"/>
      <w:r w:rsidRPr="00795126">
        <w:rPr>
          <w:rFonts w:ascii="Calibri" w:hAnsi="Calibri" w:cs="Calibri"/>
          <w:szCs w:val="24"/>
        </w:rPr>
        <w:t>Deontics</w:t>
      </w:r>
      <w:proofErr w:type="spellEnd"/>
      <w:r w:rsidRPr="00795126">
        <w:rPr>
          <w:rFonts w:ascii="Calibri" w:hAnsi="Calibri" w:cs="Calibri"/>
          <w:szCs w:val="24"/>
        </w:rPr>
        <w:t xml:space="preserve"> approach. The financial implications of these studies are also important. Studying financial return was not the goal of these projects, they nevertheless identify how the </w:t>
      </w:r>
      <w:proofErr w:type="spellStart"/>
      <w:r w:rsidRPr="00795126">
        <w:rPr>
          <w:rFonts w:ascii="Calibri" w:hAnsi="Calibri" w:cs="Calibri"/>
          <w:szCs w:val="24"/>
        </w:rPr>
        <w:t>Deontics</w:t>
      </w:r>
      <w:proofErr w:type="spellEnd"/>
      <w:r w:rsidRPr="00795126">
        <w:rPr>
          <w:rFonts w:ascii="Calibri" w:hAnsi="Calibri" w:cs="Calibri"/>
          <w:szCs w:val="24"/>
        </w:rPr>
        <w:t xml:space="preserve"> platform can improve quality and reduce costs of care.</w:t>
      </w:r>
    </w:p>
    <w:bookmarkEnd w:id="0"/>
    <w:p w14:paraId="7A38237C" w14:textId="77777777" w:rsidR="001C3BC8" w:rsidRPr="00795126" w:rsidRDefault="001C3BC8" w:rsidP="001C3BC8">
      <w:pPr>
        <w:rPr>
          <w:rFonts w:ascii="Calibri" w:hAnsi="Calibri" w:cs="Calibri"/>
          <w:szCs w:val="24"/>
        </w:rPr>
      </w:pPr>
    </w:p>
    <w:p w14:paraId="56B63DDD" w14:textId="77777777" w:rsidR="001C3BC8" w:rsidRDefault="001C3BC8" w:rsidP="001C3BC8">
      <w:pPr>
        <w:rPr>
          <w:rFonts w:ascii="Calibri" w:hAnsi="Calibri" w:cs="Calibri"/>
          <w:szCs w:val="24"/>
        </w:rPr>
      </w:pPr>
    </w:p>
    <w:p w14:paraId="28701DD4" w14:textId="77777777" w:rsidR="001C3BC8" w:rsidRPr="00795126" w:rsidRDefault="001C3BC8" w:rsidP="001C3BC8">
      <w:pPr>
        <w:rPr>
          <w:rFonts w:ascii="Calibri" w:hAnsi="Calibri" w:cs="Calibri"/>
          <w:b/>
          <w:szCs w:val="24"/>
        </w:rPr>
      </w:pPr>
    </w:p>
    <w:p w14:paraId="70351FFC" w14:textId="77777777" w:rsidR="001C3BC8" w:rsidRPr="00795126" w:rsidRDefault="001C3BC8" w:rsidP="001C3BC8">
      <w:pPr>
        <w:jc w:val="both"/>
        <w:rPr>
          <w:rFonts w:ascii="Calibri" w:hAnsi="Calibri" w:cs="Calibri"/>
          <w:szCs w:val="24"/>
        </w:rPr>
      </w:pPr>
      <w:r w:rsidRPr="00795126">
        <w:rPr>
          <w:rFonts w:ascii="Calibri" w:hAnsi="Calibri" w:cs="Calibri"/>
          <w:b/>
          <w:szCs w:val="24"/>
        </w:rPr>
        <w:t>Estimating the financial return</w:t>
      </w:r>
    </w:p>
    <w:p w14:paraId="4118FBCF" w14:textId="77777777" w:rsidR="001C3BC8" w:rsidRPr="00795126" w:rsidRDefault="001C3BC8" w:rsidP="001C3BC8">
      <w:pPr>
        <w:jc w:val="both"/>
        <w:rPr>
          <w:rFonts w:ascii="Calibri" w:hAnsi="Calibri" w:cs="Calibri"/>
          <w:szCs w:val="24"/>
        </w:rPr>
      </w:pPr>
      <w:r w:rsidRPr="00795126">
        <w:rPr>
          <w:rFonts w:ascii="Calibri" w:hAnsi="Calibri" w:cs="Calibri"/>
          <w:szCs w:val="24"/>
        </w:rPr>
        <w:t xml:space="preserve">From these studies and other studies, we can make estimates of the potential financial benefits that a </w:t>
      </w:r>
      <w:proofErr w:type="spellStart"/>
      <w:r w:rsidRPr="00795126">
        <w:rPr>
          <w:rFonts w:ascii="Calibri" w:hAnsi="Calibri" w:cs="Calibri"/>
          <w:szCs w:val="24"/>
        </w:rPr>
        <w:t>Deontics</w:t>
      </w:r>
      <w:proofErr w:type="spellEnd"/>
      <w:r w:rsidRPr="00795126">
        <w:rPr>
          <w:rFonts w:ascii="Calibri" w:hAnsi="Calibri" w:cs="Calibri"/>
          <w:szCs w:val="24"/>
        </w:rPr>
        <w:t xml:space="preserve"> implementation can bring</w:t>
      </w:r>
      <w:r>
        <w:rPr>
          <w:rFonts w:ascii="Calibri" w:hAnsi="Calibri" w:cs="Calibri"/>
          <w:szCs w:val="24"/>
        </w:rPr>
        <w:t xml:space="preserve"> to an organisation</w:t>
      </w:r>
      <w:r w:rsidRPr="00795126">
        <w:rPr>
          <w:rFonts w:ascii="Calibri" w:hAnsi="Calibri" w:cs="Calibri"/>
          <w:szCs w:val="24"/>
        </w:rPr>
        <w:t>. To do this, we have a simple operational model that provides benefit categories:</w:t>
      </w:r>
    </w:p>
    <w:p w14:paraId="76811860" w14:textId="77777777" w:rsidR="001C3BC8" w:rsidRPr="00795126" w:rsidRDefault="001C3BC8" w:rsidP="001C3BC8">
      <w:pPr>
        <w:pStyle w:val="ListParagraph"/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795126">
        <w:rPr>
          <w:rFonts w:ascii="Calibri" w:hAnsi="Calibri" w:cs="Calibri"/>
          <w:sz w:val="24"/>
          <w:szCs w:val="24"/>
        </w:rPr>
        <w:t>Admissions avoided</w:t>
      </w:r>
    </w:p>
    <w:p w14:paraId="51911575" w14:textId="77777777" w:rsidR="001C3BC8" w:rsidRPr="00795126" w:rsidRDefault="001C3BC8" w:rsidP="001C3BC8">
      <w:pPr>
        <w:pStyle w:val="ListParagraph"/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795126">
        <w:rPr>
          <w:rFonts w:ascii="Calibri" w:hAnsi="Calibri" w:cs="Calibri"/>
          <w:sz w:val="24"/>
          <w:szCs w:val="24"/>
        </w:rPr>
        <w:t>Reduced costs during admissions (including reduced length of stay)</w:t>
      </w:r>
    </w:p>
    <w:p w14:paraId="45F109A3" w14:textId="77777777" w:rsidR="001C3BC8" w:rsidRPr="00795126" w:rsidRDefault="001C3BC8" w:rsidP="001C3BC8">
      <w:pPr>
        <w:pStyle w:val="ListParagraph"/>
        <w:numPr>
          <w:ilvl w:val="0"/>
          <w:numId w:val="29"/>
        </w:numPr>
        <w:jc w:val="both"/>
        <w:rPr>
          <w:rFonts w:ascii="Calibri" w:hAnsi="Calibri" w:cs="Calibri"/>
          <w:sz w:val="24"/>
          <w:szCs w:val="24"/>
        </w:rPr>
      </w:pPr>
      <w:r w:rsidRPr="00795126">
        <w:rPr>
          <w:rFonts w:ascii="Calibri" w:hAnsi="Calibri" w:cs="Calibri"/>
          <w:sz w:val="24"/>
          <w:szCs w:val="24"/>
        </w:rPr>
        <w:t>More effective discharges</w:t>
      </w:r>
    </w:p>
    <w:p w14:paraId="4B0B8DC7" w14:textId="77777777" w:rsidR="001C3BC8" w:rsidRDefault="001C3BC8" w:rsidP="001C3BC8">
      <w:pPr>
        <w:rPr>
          <w:rFonts w:ascii="Calibri" w:hAnsi="Calibri" w:cs="Calibri"/>
          <w:szCs w:val="24"/>
        </w:rPr>
      </w:pPr>
      <w:r w:rsidRPr="00795126">
        <w:rPr>
          <w:rFonts w:ascii="Calibri" w:hAnsi="Calibri" w:cs="Calibri"/>
          <w:szCs w:val="24"/>
        </w:rPr>
        <w:t xml:space="preserve">For each category, we make a simple estimate of the benefits that can flow from an effective </w:t>
      </w:r>
      <w:proofErr w:type="spellStart"/>
      <w:r w:rsidRPr="00795126">
        <w:rPr>
          <w:rFonts w:ascii="Calibri" w:hAnsi="Calibri" w:cs="Calibri"/>
          <w:szCs w:val="24"/>
        </w:rPr>
        <w:t>Deontics</w:t>
      </w:r>
      <w:proofErr w:type="spellEnd"/>
      <w:r w:rsidRPr="00795126">
        <w:rPr>
          <w:rFonts w:ascii="Calibri" w:hAnsi="Calibri" w:cs="Calibri"/>
          <w:szCs w:val="24"/>
        </w:rPr>
        <w:t xml:space="preserve"> implementation, and then sum these benefits across </w:t>
      </w:r>
      <w:r>
        <w:rPr>
          <w:rFonts w:ascii="Calibri" w:hAnsi="Calibri" w:cs="Calibri"/>
          <w:szCs w:val="24"/>
        </w:rPr>
        <w:t>an</w:t>
      </w:r>
      <w:r w:rsidRPr="00795126">
        <w:rPr>
          <w:rFonts w:ascii="Calibri" w:hAnsi="Calibri" w:cs="Calibri"/>
          <w:szCs w:val="24"/>
        </w:rPr>
        <w:t xml:space="preserve"> organi</w:t>
      </w:r>
      <w:r>
        <w:rPr>
          <w:rFonts w:ascii="Calibri" w:hAnsi="Calibri" w:cs="Calibri"/>
          <w:szCs w:val="24"/>
        </w:rPr>
        <w:t>s</w:t>
      </w:r>
      <w:r w:rsidRPr="00795126">
        <w:rPr>
          <w:rFonts w:ascii="Calibri" w:hAnsi="Calibri" w:cs="Calibri"/>
          <w:szCs w:val="24"/>
        </w:rPr>
        <w:t>ation.</w:t>
      </w:r>
      <w:r>
        <w:rPr>
          <w:rFonts w:ascii="Calibri" w:hAnsi="Calibri" w:cs="Calibri"/>
          <w:szCs w:val="24"/>
        </w:rPr>
        <w:t xml:space="preserve"> </w:t>
      </w:r>
    </w:p>
    <w:p w14:paraId="154AE3C9" w14:textId="77777777" w:rsidR="001C3BC8" w:rsidRDefault="001C3BC8" w:rsidP="001C3BC8">
      <w:pPr>
        <w:rPr>
          <w:rFonts w:ascii="Calibri" w:hAnsi="Calibri" w:cs="Calibri"/>
          <w:szCs w:val="24"/>
        </w:rPr>
      </w:pPr>
    </w:p>
    <w:p w14:paraId="75115D59" w14:textId="437AF848" w:rsidR="001C3BC8" w:rsidRDefault="001C3BC8" w:rsidP="001C3BC8">
      <w:pPr>
        <w:rPr>
          <w:rFonts w:ascii="Calibri" w:hAnsi="Calibri" w:cs="Calibri"/>
          <w:szCs w:val="24"/>
        </w:rPr>
      </w:pPr>
    </w:p>
    <w:p w14:paraId="5F93BDF1" w14:textId="41EAB3F2" w:rsidR="001C3BC8" w:rsidRDefault="001C3BC8" w:rsidP="001C3BC8">
      <w:pPr>
        <w:rPr>
          <w:rFonts w:ascii="Calibri" w:hAnsi="Calibri" w:cs="Calibri"/>
          <w:szCs w:val="24"/>
        </w:rPr>
      </w:pPr>
    </w:p>
    <w:p w14:paraId="64062C3E" w14:textId="5BDC44DA" w:rsidR="001C3BC8" w:rsidRDefault="001C3BC8" w:rsidP="001C3BC8">
      <w:pPr>
        <w:rPr>
          <w:rFonts w:ascii="Calibri" w:hAnsi="Calibri" w:cs="Calibri"/>
          <w:szCs w:val="24"/>
        </w:rPr>
      </w:pPr>
    </w:p>
    <w:p w14:paraId="2C4A427A" w14:textId="37E50FA6" w:rsidR="001C3BC8" w:rsidRDefault="001C3BC8" w:rsidP="001C3BC8">
      <w:pPr>
        <w:rPr>
          <w:rFonts w:ascii="Calibri" w:hAnsi="Calibri" w:cs="Calibri"/>
          <w:szCs w:val="24"/>
        </w:rPr>
      </w:pPr>
    </w:p>
    <w:p w14:paraId="69961829" w14:textId="3E29DA53" w:rsidR="001C3BC8" w:rsidRDefault="001C3BC8" w:rsidP="001C3BC8">
      <w:pPr>
        <w:rPr>
          <w:rFonts w:ascii="Calibri" w:hAnsi="Calibri" w:cs="Calibri"/>
          <w:szCs w:val="24"/>
        </w:rPr>
      </w:pPr>
    </w:p>
    <w:p w14:paraId="36371C8A" w14:textId="77777777" w:rsidR="001C3BC8" w:rsidRDefault="001C3BC8" w:rsidP="001C3BC8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lastRenderedPageBreak/>
        <w:t xml:space="preserve">The figures below represent an average UK hospital (see “Base Data” below). </w:t>
      </w:r>
    </w:p>
    <w:p w14:paraId="7B4EA1B0" w14:textId="77777777" w:rsidR="001C3BC8" w:rsidRPr="00795126" w:rsidRDefault="001C3BC8" w:rsidP="001C3BC8">
      <w:pPr>
        <w:rPr>
          <w:rFonts w:ascii="Calibri" w:hAnsi="Calibri" w:cs="Calibri"/>
          <w:szCs w:val="24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5215"/>
        <w:gridCol w:w="2610"/>
        <w:gridCol w:w="2631"/>
      </w:tblGrid>
      <w:tr w:rsidR="001C3BC8" w:rsidRPr="00795126" w14:paraId="4A28C335" w14:textId="77777777" w:rsidTr="009A1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14:paraId="129DC8B0" w14:textId="77777777" w:rsidR="001C3BC8" w:rsidRPr="00795126" w:rsidRDefault="001C3BC8" w:rsidP="009A1190">
            <w:pPr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Estimating the financial opportunities: top ten clinical pathways only</w:t>
            </w:r>
          </w:p>
        </w:tc>
      </w:tr>
      <w:tr w:rsidR="001C3BC8" w:rsidRPr="00795126" w14:paraId="5294749D" w14:textId="77777777" w:rsidTr="009A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18D595BC" w14:textId="77777777" w:rsidR="001C3BC8" w:rsidRPr="00795126" w:rsidRDefault="001C3BC8" w:rsidP="009A1190">
            <w:pPr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Cost category</w:t>
            </w:r>
          </w:p>
        </w:tc>
        <w:tc>
          <w:tcPr>
            <w:tcW w:w="2610" w:type="dxa"/>
          </w:tcPr>
          <w:p w14:paraId="54DDF9BA" w14:textId="77777777" w:rsidR="001C3BC8" w:rsidRPr="00795126" w:rsidRDefault="001C3BC8" w:rsidP="009A1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  <w:r w:rsidRPr="00795126">
              <w:rPr>
                <w:rFonts w:ascii="Calibri" w:hAnsi="Calibri" w:cs="Calibri"/>
                <w:b/>
                <w:szCs w:val="24"/>
              </w:rPr>
              <w:t>Financial metrics</w:t>
            </w:r>
          </w:p>
        </w:tc>
        <w:tc>
          <w:tcPr>
            <w:tcW w:w="2631" w:type="dxa"/>
          </w:tcPr>
          <w:p w14:paraId="62C249C2" w14:textId="77777777" w:rsidR="001C3BC8" w:rsidRPr="00795126" w:rsidRDefault="001C3BC8" w:rsidP="009A11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  <w:r w:rsidRPr="00795126">
              <w:rPr>
                <w:rFonts w:ascii="Calibri" w:hAnsi="Calibri" w:cs="Calibri"/>
                <w:b/>
                <w:szCs w:val="24"/>
              </w:rPr>
              <w:t>Annual value (£)</w:t>
            </w:r>
          </w:p>
        </w:tc>
      </w:tr>
      <w:tr w:rsidR="001C3BC8" w:rsidRPr="00795126" w14:paraId="53616D10" w14:textId="77777777" w:rsidTr="009A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244A7C69" w14:textId="77777777" w:rsidR="001C3BC8" w:rsidRPr="00795126" w:rsidRDefault="001C3BC8" w:rsidP="009A1190">
            <w:pPr>
              <w:rPr>
                <w:rFonts w:ascii="Calibri" w:hAnsi="Calibri" w:cs="Calibri"/>
                <w:i/>
                <w:szCs w:val="24"/>
              </w:rPr>
            </w:pPr>
            <w:r w:rsidRPr="00795126">
              <w:rPr>
                <w:rFonts w:ascii="Calibri" w:hAnsi="Calibri" w:cs="Calibri"/>
                <w:i/>
                <w:szCs w:val="24"/>
              </w:rPr>
              <w:t>Admissions avoided</w:t>
            </w:r>
          </w:p>
        </w:tc>
        <w:tc>
          <w:tcPr>
            <w:tcW w:w="2610" w:type="dxa"/>
          </w:tcPr>
          <w:p w14:paraId="589385A9" w14:textId="77777777" w:rsidR="001C3BC8" w:rsidRPr="00795126" w:rsidRDefault="001C3BC8" w:rsidP="009A1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631" w:type="dxa"/>
          </w:tcPr>
          <w:p w14:paraId="2E7B831B" w14:textId="77777777" w:rsidR="001C3BC8" w:rsidRPr="00795126" w:rsidRDefault="001C3BC8" w:rsidP="009A11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</w:p>
        </w:tc>
      </w:tr>
      <w:tr w:rsidR="001C3BC8" w:rsidRPr="00795126" w14:paraId="0122DF79" w14:textId="77777777" w:rsidTr="009A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5BA1D8E0" w14:textId="77777777" w:rsidR="001C3BC8" w:rsidRPr="00795126" w:rsidRDefault="001C3BC8" w:rsidP="009A1190">
            <w:pPr>
              <w:rPr>
                <w:rFonts w:ascii="Calibri" w:hAnsi="Calibri" w:cs="Calibri"/>
                <w:b w:val="0"/>
                <w:szCs w:val="24"/>
              </w:rPr>
            </w:pPr>
            <w:r w:rsidRPr="00795126">
              <w:rPr>
                <w:rFonts w:ascii="Calibri" w:hAnsi="Calibri" w:cs="Calibri"/>
                <w:b w:val="0"/>
                <w:szCs w:val="24"/>
              </w:rPr>
              <w:t>Effective application of admission criteria to patients in emergency departments can help avoid unwarranted admissions. Estimate 3% reduction in admissions.</w:t>
            </w:r>
          </w:p>
        </w:tc>
        <w:tc>
          <w:tcPr>
            <w:tcW w:w="2610" w:type="dxa"/>
          </w:tcPr>
          <w:p w14:paraId="6B09EFF3" w14:textId="77777777" w:rsidR="001C3BC8" w:rsidRPr="00795126" w:rsidRDefault="001C3BC8" w:rsidP="009A1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3% of admissions = 196/year</w:t>
            </w:r>
          </w:p>
        </w:tc>
        <w:tc>
          <w:tcPr>
            <w:tcW w:w="2631" w:type="dxa"/>
          </w:tcPr>
          <w:p w14:paraId="774730AA" w14:textId="77777777" w:rsidR="001C3BC8" w:rsidRPr="00795126" w:rsidRDefault="001C3BC8" w:rsidP="009A11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475,000</w:t>
            </w:r>
          </w:p>
        </w:tc>
      </w:tr>
      <w:tr w:rsidR="001C3BC8" w:rsidRPr="00795126" w14:paraId="48C70F3A" w14:textId="77777777" w:rsidTr="009A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31E3E639" w14:textId="77777777" w:rsidR="001C3BC8" w:rsidRPr="00795126" w:rsidRDefault="001C3BC8" w:rsidP="009A1190">
            <w:pPr>
              <w:rPr>
                <w:rFonts w:ascii="Calibri" w:hAnsi="Calibri" w:cs="Calibri"/>
                <w:i/>
                <w:szCs w:val="24"/>
              </w:rPr>
            </w:pPr>
            <w:r w:rsidRPr="00795126">
              <w:rPr>
                <w:rFonts w:ascii="Calibri" w:hAnsi="Calibri" w:cs="Calibri"/>
                <w:i/>
                <w:szCs w:val="24"/>
              </w:rPr>
              <w:t>Reduced costs during admission</w:t>
            </w:r>
          </w:p>
        </w:tc>
        <w:tc>
          <w:tcPr>
            <w:tcW w:w="2610" w:type="dxa"/>
          </w:tcPr>
          <w:p w14:paraId="0F03D434" w14:textId="77777777" w:rsidR="001C3BC8" w:rsidRPr="00795126" w:rsidRDefault="001C3BC8" w:rsidP="009A1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</w:p>
        </w:tc>
        <w:tc>
          <w:tcPr>
            <w:tcW w:w="2631" w:type="dxa"/>
          </w:tcPr>
          <w:p w14:paraId="20F09669" w14:textId="77777777" w:rsidR="001C3BC8" w:rsidRPr="00795126" w:rsidRDefault="001C3BC8" w:rsidP="009A11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</w:p>
        </w:tc>
      </w:tr>
      <w:tr w:rsidR="001C3BC8" w:rsidRPr="00795126" w14:paraId="53A3CC85" w14:textId="77777777" w:rsidTr="009A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179FF46F" w14:textId="77777777" w:rsidR="001C3BC8" w:rsidRPr="00795126" w:rsidRDefault="001C3BC8" w:rsidP="009A1190">
            <w:pPr>
              <w:rPr>
                <w:rFonts w:ascii="Calibri" w:hAnsi="Calibri" w:cs="Calibri"/>
                <w:b w:val="0"/>
                <w:szCs w:val="24"/>
              </w:rPr>
            </w:pPr>
            <w:r w:rsidRPr="00795126">
              <w:rPr>
                <w:rFonts w:ascii="Calibri" w:hAnsi="Calibri" w:cs="Calibri"/>
                <w:b w:val="0"/>
                <w:szCs w:val="24"/>
              </w:rPr>
              <w:t>Improved clinical guideline/pathway adherence</w:t>
            </w:r>
            <w:r w:rsidRPr="00795126">
              <w:rPr>
                <w:rFonts w:ascii="Calibri" w:hAnsi="Calibri" w:cs="Calibri"/>
                <w:b w:val="0"/>
                <w:szCs w:val="24"/>
              </w:rPr>
              <w:br/>
              <w:t>Average 3% of care costs</w:t>
            </w:r>
          </w:p>
        </w:tc>
        <w:tc>
          <w:tcPr>
            <w:tcW w:w="2610" w:type="dxa"/>
          </w:tcPr>
          <w:p w14:paraId="6E7105B6" w14:textId="77777777" w:rsidR="001C3BC8" w:rsidRPr="00795126" w:rsidRDefault="001C3BC8" w:rsidP="009A1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</w:p>
        </w:tc>
        <w:tc>
          <w:tcPr>
            <w:tcW w:w="2631" w:type="dxa"/>
          </w:tcPr>
          <w:p w14:paraId="00F50A96" w14:textId="77777777" w:rsidR="001C3BC8" w:rsidRPr="00795126" w:rsidRDefault="001C3BC8" w:rsidP="009A11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475,000</w:t>
            </w:r>
          </w:p>
        </w:tc>
      </w:tr>
      <w:tr w:rsidR="001C3BC8" w:rsidRPr="00795126" w14:paraId="43EC7677" w14:textId="77777777" w:rsidTr="009A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4DE9F4B7" w14:textId="77777777" w:rsidR="001C3BC8" w:rsidRPr="00795126" w:rsidRDefault="001C3BC8" w:rsidP="009A1190">
            <w:pPr>
              <w:rPr>
                <w:rFonts w:ascii="Calibri" w:hAnsi="Calibri" w:cs="Calibri"/>
                <w:b w:val="0"/>
                <w:szCs w:val="24"/>
              </w:rPr>
            </w:pPr>
            <w:r w:rsidRPr="00795126">
              <w:rPr>
                <w:rFonts w:ascii="Calibri" w:hAnsi="Calibri" w:cs="Calibri"/>
                <w:b w:val="0"/>
                <w:szCs w:val="24"/>
              </w:rPr>
              <w:t>Reduced average length of stay</w:t>
            </w:r>
            <w:r w:rsidRPr="00795126">
              <w:rPr>
                <w:rFonts w:ascii="Calibri" w:hAnsi="Calibri" w:cs="Calibri"/>
                <w:b w:val="0"/>
                <w:szCs w:val="24"/>
              </w:rPr>
              <w:br/>
              <w:t>0.3% reduction</w:t>
            </w:r>
          </w:p>
        </w:tc>
        <w:tc>
          <w:tcPr>
            <w:tcW w:w="2610" w:type="dxa"/>
          </w:tcPr>
          <w:p w14:paraId="235DF317" w14:textId="77777777" w:rsidR="001C3BC8" w:rsidRPr="00795126" w:rsidRDefault="001C3BC8" w:rsidP="009A1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£62.40/day reduction</w:t>
            </w:r>
          </w:p>
        </w:tc>
        <w:tc>
          <w:tcPr>
            <w:tcW w:w="2631" w:type="dxa"/>
          </w:tcPr>
          <w:p w14:paraId="66436E54" w14:textId="77777777" w:rsidR="001C3BC8" w:rsidRPr="00795126" w:rsidRDefault="001C3BC8" w:rsidP="009A11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408,000</w:t>
            </w:r>
          </w:p>
        </w:tc>
      </w:tr>
      <w:tr w:rsidR="001C3BC8" w:rsidRPr="00795126" w14:paraId="43775C66" w14:textId="77777777" w:rsidTr="009A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618986EC" w14:textId="77777777" w:rsidR="001C3BC8" w:rsidRPr="00795126" w:rsidRDefault="001C3BC8" w:rsidP="009A1190">
            <w:pPr>
              <w:rPr>
                <w:rFonts w:ascii="Calibri" w:hAnsi="Calibri" w:cs="Calibri"/>
                <w:i/>
                <w:szCs w:val="24"/>
              </w:rPr>
            </w:pPr>
            <w:r w:rsidRPr="00795126">
              <w:rPr>
                <w:rFonts w:ascii="Calibri" w:hAnsi="Calibri" w:cs="Calibri"/>
                <w:i/>
                <w:szCs w:val="24"/>
              </w:rPr>
              <w:t>Effective discharge</w:t>
            </w:r>
          </w:p>
        </w:tc>
        <w:tc>
          <w:tcPr>
            <w:tcW w:w="2610" w:type="dxa"/>
          </w:tcPr>
          <w:p w14:paraId="740A07D0" w14:textId="77777777" w:rsidR="001C3BC8" w:rsidRPr="00795126" w:rsidRDefault="001C3BC8" w:rsidP="009A1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</w:p>
        </w:tc>
        <w:tc>
          <w:tcPr>
            <w:tcW w:w="2631" w:type="dxa"/>
          </w:tcPr>
          <w:p w14:paraId="3FDAAEF9" w14:textId="77777777" w:rsidR="001C3BC8" w:rsidRPr="00795126" w:rsidRDefault="001C3BC8" w:rsidP="009A11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</w:p>
        </w:tc>
      </w:tr>
      <w:tr w:rsidR="001C3BC8" w:rsidRPr="00795126" w14:paraId="335CC18F" w14:textId="77777777" w:rsidTr="009A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</w:tcPr>
          <w:p w14:paraId="55209C01" w14:textId="77777777" w:rsidR="001C3BC8" w:rsidRPr="00795126" w:rsidRDefault="001C3BC8" w:rsidP="009A1190">
            <w:pPr>
              <w:rPr>
                <w:rFonts w:ascii="Calibri" w:hAnsi="Calibri" w:cs="Calibri"/>
                <w:b w:val="0"/>
                <w:szCs w:val="24"/>
              </w:rPr>
            </w:pPr>
            <w:r w:rsidRPr="00795126">
              <w:rPr>
                <w:rFonts w:ascii="Calibri" w:hAnsi="Calibri" w:cs="Calibri"/>
                <w:b w:val="0"/>
                <w:szCs w:val="24"/>
              </w:rPr>
              <w:t xml:space="preserve">Readmissions due to ineffective or premature discharges: additional 0.5% reduction in admissions. </w:t>
            </w:r>
          </w:p>
        </w:tc>
        <w:tc>
          <w:tcPr>
            <w:tcW w:w="2610" w:type="dxa"/>
          </w:tcPr>
          <w:p w14:paraId="5F0DC23B" w14:textId="77777777" w:rsidR="001C3BC8" w:rsidRPr="00795126" w:rsidRDefault="001C3BC8" w:rsidP="009A1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32.7 cases per year</w:t>
            </w:r>
          </w:p>
        </w:tc>
        <w:tc>
          <w:tcPr>
            <w:tcW w:w="2631" w:type="dxa"/>
          </w:tcPr>
          <w:p w14:paraId="2DE1328B" w14:textId="77777777" w:rsidR="001C3BC8" w:rsidRPr="00795126" w:rsidRDefault="001C3BC8" w:rsidP="009A11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79,000</w:t>
            </w:r>
          </w:p>
        </w:tc>
      </w:tr>
      <w:tr w:rsidR="001C3BC8" w:rsidRPr="00795126" w14:paraId="4C4367A3" w14:textId="77777777" w:rsidTr="009A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5" w:type="dxa"/>
            <w:gridSpan w:val="2"/>
          </w:tcPr>
          <w:p w14:paraId="087A543C" w14:textId="77777777" w:rsidR="001C3BC8" w:rsidRPr="00795126" w:rsidRDefault="001C3BC8" w:rsidP="009A1190">
            <w:pPr>
              <w:jc w:val="right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Total estimated savings per year</w:t>
            </w:r>
          </w:p>
        </w:tc>
        <w:tc>
          <w:tcPr>
            <w:tcW w:w="2631" w:type="dxa"/>
          </w:tcPr>
          <w:p w14:paraId="57FE27A2" w14:textId="77777777" w:rsidR="001C3BC8" w:rsidRPr="00795126" w:rsidRDefault="001C3BC8" w:rsidP="009A11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  <w:r w:rsidRPr="00795126">
              <w:rPr>
                <w:rFonts w:ascii="Calibri" w:hAnsi="Calibri" w:cs="Calibri"/>
                <w:b/>
                <w:szCs w:val="24"/>
              </w:rPr>
              <w:t>£1,437,000</w:t>
            </w:r>
          </w:p>
        </w:tc>
      </w:tr>
      <w:tr w:rsidR="001C3BC8" w:rsidRPr="00795126" w14:paraId="63B3D9B0" w14:textId="77777777" w:rsidTr="009A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5" w:type="dxa"/>
            <w:gridSpan w:val="2"/>
          </w:tcPr>
          <w:p w14:paraId="50EBC6BC" w14:textId="77777777" w:rsidR="001C3BC8" w:rsidRPr="00795126" w:rsidRDefault="001C3BC8" w:rsidP="009A1190">
            <w:pPr>
              <w:jc w:val="right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Total cost per year</w:t>
            </w:r>
          </w:p>
        </w:tc>
        <w:tc>
          <w:tcPr>
            <w:tcW w:w="2631" w:type="dxa"/>
          </w:tcPr>
          <w:p w14:paraId="0033F111" w14:textId="77777777" w:rsidR="001C3BC8" w:rsidRPr="00795126" w:rsidRDefault="001C3BC8" w:rsidP="009A11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  <w:r w:rsidRPr="00795126">
              <w:rPr>
                <w:rFonts w:ascii="Calibri" w:hAnsi="Calibri" w:cs="Calibri"/>
                <w:b/>
                <w:szCs w:val="24"/>
              </w:rPr>
              <w:t>£15,835,761</w:t>
            </w:r>
          </w:p>
        </w:tc>
      </w:tr>
      <w:tr w:rsidR="001C3BC8" w:rsidRPr="00795126" w14:paraId="023E1D51" w14:textId="77777777" w:rsidTr="009A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5" w:type="dxa"/>
            <w:gridSpan w:val="2"/>
          </w:tcPr>
          <w:p w14:paraId="05B31DD8" w14:textId="77777777" w:rsidR="001C3BC8" w:rsidRPr="00795126" w:rsidRDefault="001C3BC8" w:rsidP="009A1190">
            <w:pPr>
              <w:jc w:val="right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Total percentage cost savings per year</w:t>
            </w:r>
          </w:p>
        </w:tc>
        <w:tc>
          <w:tcPr>
            <w:tcW w:w="2631" w:type="dxa"/>
          </w:tcPr>
          <w:p w14:paraId="438C8E5B" w14:textId="77777777" w:rsidR="001C3BC8" w:rsidRPr="00795126" w:rsidRDefault="001C3BC8" w:rsidP="009A11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  <w:r w:rsidRPr="00795126">
              <w:rPr>
                <w:rFonts w:ascii="Calibri" w:hAnsi="Calibri" w:cs="Calibri"/>
                <w:b/>
                <w:szCs w:val="24"/>
              </w:rPr>
              <w:t>9%</w:t>
            </w:r>
          </w:p>
        </w:tc>
      </w:tr>
      <w:tr w:rsidR="001C3BC8" w:rsidRPr="00795126" w14:paraId="0628ED49" w14:textId="77777777" w:rsidTr="009A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5" w:type="dxa"/>
            <w:gridSpan w:val="2"/>
          </w:tcPr>
          <w:p w14:paraId="23F76141" w14:textId="77777777" w:rsidR="001C3BC8" w:rsidRPr="00795126" w:rsidRDefault="001C3BC8" w:rsidP="009A1190">
            <w:pPr>
              <w:jc w:val="right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>Annual price for top 10 pathways</w:t>
            </w:r>
          </w:p>
        </w:tc>
        <w:tc>
          <w:tcPr>
            <w:tcW w:w="2631" w:type="dxa"/>
          </w:tcPr>
          <w:p w14:paraId="645AB043" w14:textId="0A738016" w:rsidR="001C3BC8" w:rsidRPr="00795126" w:rsidRDefault="001C3BC8" w:rsidP="009A11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  <w:r w:rsidRPr="00795126">
              <w:rPr>
                <w:rFonts w:ascii="Calibri" w:hAnsi="Calibri" w:cs="Calibri"/>
                <w:b/>
                <w:szCs w:val="24"/>
              </w:rPr>
              <w:t>£</w:t>
            </w:r>
            <w:r w:rsidR="00D24CCC">
              <w:rPr>
                <w:rFonts w:ascii="Calibri" w:hAnsi="Calibri" w:cs="Calibri"/>
                <w:b/>
                <w:szCs w:val="24"/>
              </w:rPr>
              <w:t>20</w:t>
            </w:r>
            <w:r w:rsidRPr="00795126">
              <w:rPr>
                <w:rFonts w:ascii="Calibri" w:hAnsi="Calibri" w:cs="Calibri"/>
                <w:b/>
                <w:szCs w:val="24"/>
              </w:rPr>
              <w:t>0,000</w:t>
            </w:r>
          </w:p>
        </w:tc>
      </w:tr>
      <w:tr w:rsidR="001C3BC8" w:rsidRPr="00795126" w14:paraId="3584446D" w14:textId="77777777" w:rsidTr="009A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5" w:type="dxa"/>
            <w:gridSpan w:val="2"/>
          </w:tcPr>
          <w:p w14:paraId="6B23AF0E" w14:textId="77777777" w:rsidR="001C3BC8" w:rsidRPr="00795126" w:rsidRDefault="001C3BC8" w:rsidP="009A1190">
            <w:pPr>
              <w:jc w:val="right"/>
              <w:rPr>
                <w:rFonts w:ascii="Calibri" w:hAnsi="Calibri" w:cs="Calibri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 xml:space="preserve">Estimated </w:t>
            </w:r>
            <w:proofErr w:type="spellStart"/>
            <w:r w:rsidRPr="00795126">
              <w:rPr>
                <w:rFonts w:ascii="Calibri" w:hAnsi="Calibri" w:cs="Calibri"/>
                <w:szCs w:val="24"/>
              </w:rPr>
              <w:t>Deontics</w:t>
            </w:r>
            <w:proofErr w:type="spellEnd"/>
            <w:r w:rsidRPr="00795126">
              <w:rPr>
                <w:rFonts w:ascii="Calibri" w:hAnsi="Calibri" w:cs="Calibri"/>
                <w:szCs w:val="24"/>
              </w:rPr>
              <w:t xml:space="preserve"> </w:t>
            </w:r>
            <w:proofErr w:type="spellStart"/>
            <w:r w:rsidRPr="00795126">
              <w:rPr>
                <w:rFonts w:ascii="Calibri" w:hAnsi="Calibri" w:cs="Calibri"/>
                <w:szCs w:val="24"/>
              </w:rPr>
              <w:t>RoI</w:t>
            </w:r>
            <w:proofErr w:type="spellEnd"/>
          </w:p>
        </w:tc>
        <w:tc>
          <w:tcPr>
            <w:tcW w:w="2631" w:type="dxa"/>
          </w:tcPr>
          <w:p w14:paraId="52FFAC5D" w14:textId="3A1E8835" w:rsidR="001C3BC8" w:rsidRPr="00795126" w:rsidRDefault="004B6E92" w:rsidP="009A11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718</w:t>
            </w:r>
            <w:r w:rsidR="001C3BC8" w:rsidRPr="00795126">
              <w:rPr>
                <w:rFonts w:ascii="Calibri" w:hAnsi="Calibri" w:cs="Calibri"/>
                <w:b/>
                <w:szCs w:val="24"/>
              </w:rPr>
              <w:t>%</w:t>
            </w:r>
          </w:p>
        </w:tc>
        <w:bookmarkStart w:id="1" w:name="_GoBack"/>
        <w:bookmarkEnd w:id="1"/>
      </w:tr>
      <w:tr w:rsidR="001C3BC8" w:rsidRPr="00795126" w14:paraId="6642947B" w14:textId="77777777" w:rsidTr="009A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14:paraId="2E41DEDE" w14:textId="77777777" w:rsidR="001C3BC8" w:rsidRPr="00795126" w:rsidRDefault="001C3BC8" w:rsidP="009A1190">
            <w:pPr>
              <w:rPr>
                <w:rFonts w:ascii="Calibri" w:hAnsi="Calibri" w:cs="Calibri"/>
                <w:b w:val="0"/>
                <w:szCs w:val="24"/>
              </w:rPr>
            </w:pPr>
            <w:r w:rsidRPr="00795126">
              <w:rPr>
                <w:rFonts w:ascii="Calibri" w:hAnsi="Calibri" w:cs="Calibri"/>
                <w:szCs w:val="24"/>
              </w:rPr>
              <w:t xml:space="preserve">Base data: </w:t>
            </w:r>
            <w:r w:rsidRPr="00795126">
              <w:rPr>
                <w:rFonts w:ascii="Calibri" w:hAnsi="Calibri" w:cs="Calibri"/>
                <w:b w:val="0"/>
                <w:szCs w:val="24"/>
              </w:rPr>
              <w:br/>
              <w:t xml:space="preserve">Average hospital admissions 6,541/year for top ten pathways; average cost of £2,421 per case. (Based on data from </w:t>
            </w:r>
            <w:proofErr w:type="spellStart"/>
            <w:r w:rsidRPr="00795126">
              <w:rPr>
                <w:rFonts w:ascii="Calibri" w:hAnsi="Calibri" w:cs="Calibri"/>
                <w:b w:val="0"/>
                <w:szCs w:val="24"/>
              </w:rPr>
              <w:t>Meaccok</w:t>
            </w:r>
            <w:proofErr w:type="spellEnd"/>
            <w:r w:rsidRPr="00795126">
              <w:rPr>
                <w:rFonts w:ascii="Calibri" w:hAnsi="Calibri" w:cs="Calibri"/>
                <w:b w:val="0"/>
                <w:szCs w:val="24"/>
              </w:rPr>
              <w:t xml:space="preserve"> et al, Health Econ. 23: 1-13 (2014) and ‘2015/16 Enhanced Tariff Option spreadsheet’ March 2015)</w:t>
            </w:r>
          </w:p>
          <w:p w14:paraId="300FB940" w14:textId="77777777" w:rsidR="001C3BC8" w:rsidRPr="00795126" w:rsidRDefault="001C3BC8" w:rsidP="009A1190">
            <w:pPr>
              <w:rPr>
                <w:rFonts w:ascii="Calibri" w:hAnsi="Calibri" w:cs="Calibri"/>
                <w:szCs w:val="24"/>
              </w:rPr>
            </w:pPr>
          </w:p>
        </w:tc>
      </w:tr>
    </w:tbl>
    <w:p w14:paraId="2347106C" w14:textId="77777777" w:rsidR="001C3BC8" w:rsidRPr="00795126" w:rsidRDefault="001C3BC8" w:rsidP="001C3BC8">
      <w:pPr>
        <w:rPr>
          <w:rFonts w:ascii="Calibri" w:hAnsi="Calibri" w:cs="Calibri"/>
          <w:szCs w:val="24"/>
        </w:rPr>
      </w:pPr>
    </w:p>
    <w:p w14:paraId="784DBBA0" w14:textId="77777777" w:rsidR="001C3BC8" w:rsidRDefault="001C3BC8" w:rsidP="001C3BC8">
      <w:pPr>
        <w:jc w:val="both"/>
        <w:rPr>
          <w:rFonts w:ascii="Calibri" w:hAnsi="Calibri" w:cs="Calibri"/>
          <w:szCs w:val="24"/>
        </w:rPr>
      </w:pPr>
    </w:p>
    <w:p w14:paraId="5923D266" w14:textId="77777777" w:rsidR="001C3BC8" w:rsidRDefault="001C3BC8" w:rsidP="001C3BC8">
      <w:pPr>
        <w:jc w:val="both"/>
        <w:rPr>
          <w:rFonts w:asciiTheme="majorHAnsi" w:hAnsiTheme="majorHAnsi" w:cstheme="majorHAnsi"/>
          <w:color w:val="222222"/>
          <w:szCs w:val="24"/>
          <w:shd w:val="clear" w:color="auto" w:fill="FFFFFF"/>
        </w:rPr>
      </w:pPr>
      <w:r>
        <w:rPr>
          <w:rFonts w:ascii="Calibri" w:hAnsi="Calibri" w:cs="Calibri"/>
          <w:szCs w:val="24"/>
        </w:rPr>
        <w:t xml:space="preserve">These figures can be interpreted in the context of the Royal Liverpool and </w:t>
      </w:r>
      <w:proofErr w:type="spellStart"/>
      <w:r>
        <w:rPr>
          <w:rFonts w:ascii="Calibri" w:hAnsi="Calibri" w:cs="Calibri"/>
          <w:szCs w:val="24"/>
        </w:rPr>
        <w:t>Broadgreen</w:t>
      </w:r>
      <w:proofErr w:type="spellEnd"/>
      <w:r>
        <w:rPr>
          <w:rFonts w:ascii="Calibri" w:hAnsi="Calibri" w:cs="Calibri"/>
          <w:szCs w:val="24"/>
        </w:rPr>
        <w:t xml:space="preserve"> University Hospitals NHS Trust (RLBUHT), a </w:t>
      </w:r>
      <w:proofErr w:type="spellStart"/>
      <w:r>
        <w:rPr>
          <w:rFonts w:ascii="Calibri" w:hAnsi="Calibri" w:cs="Calibri"/>
          <w:szCs w:val="24"/>
        </w:rPr>
        <w:t>Deontics</w:t>
      </w:r>
      <w:proofErr w:type="spellEnd"/>
      <w:r>
        <w:rPr>
          <w:rFonts w:ascii="Calibri" w:hAnsi="Calibri" w:cs="Calibri"/>
          <w:szCs w:val="24"/>
        </w:rPr>
        <w:t xml:space="preserve"> customer</w:t>
      </w:r>
      <w:r>
        <w:rPr>
          <w:rFonts w:asciiTheme="majorHAnsi" w:hAnsiTheme="majorHAnsi" w:cstheme="majorHAnsi"/>
          <w:color w:val="222222"/>
          <w:szCs w:val="24"/>
          <w:shd w:val="clear" w:color="auto" w:fill="FFFFFF"/>
        </w:rPr>
        <w:t>. Even although the RLBUHT is a much larger hospital than the UK average (so savings should be much greater), even the £1.43m saving modelled above would represent a further incremental 14% saving on the £10.3m annual savings achieved by the RLBUHT last financial year as a consequence of its Quality Efficiency and Productivity Programme. Moreover, w</w:t>
      </w:r>
      <w:r w:rsidRPr="00B57DB3">
        <w:rPr>
          <w:rFonts w:asciiTheme="majorHAnsi" w:hAnsiTheme="majorHAnsi" w:cstheme="majorHAnsi"/>
          <w:szCs w:val="24"/>
        </w:rPr>
        <w:t>e would also expect a rapid payback time which is supportive of an upfront loaded payment model.</w:t>
      </w:r>
    </w:p>
    <w:p w14:paraId="4E4B74D6" w14:textId="77777777" w:rsidR="001C3BC8" w:rsidRDefault="001C3BC8" w:rsidP="001C3BC8">
      <w:pPr>
        <w:rPr>
          <w:rFonts w:ascii="Arial" w:hAnsi="Arial" w:cs="Arial"/>
          <w:b/>
          <w:sz w:val="20"/>
        </w:rPr>
      </w:pPr>
    </w:p>
    <w:p w14:paraId="12D6094E" w14:textId="77777777" w:rsidR="001C3BC8" w:rsidRDefault="001C3BC8" w:rsidP="001C3BC8">
      <w:pPr>
        <w:rPr>
          <w:rFonts w:ascii="Arial" w:hAnsi="Arial" w:cs="Arial"/>
          <w:b/>
          <w:sz w:val="20"/>
        </w:rPr>
      </w:pPr>
    </w:p>
    <w:p w14:paraId="282B2E6A" w14:textId="418B29F9" w:rsidR="001C3BC8" w:rsidRDefault="001C3BC8" w:rsidP="001C3BC8">
      <w:pPr>
        <w:rPr>
          <w:rFonts w:ascii="Arial" w:hAnsi="Arial" w:cs="Arial"/>
          <w:b/>
          <w:sz w:val="20"/>
        </w:rPr>
      </w:pPr>
      <w:r w:rsidRPr="006C4E6E">
        <w:rPr>
          <w:rFonts w:ascii="Arial" w:hAnsi="Arial" w:cs="Arial"/>
          <w:b/>
          <w:sz w:val="20"/>
        </w:rPr>
        <w:t>REFERENCES</w:t>
      </w:r>
    </w:p>
    <w:p w14:paraId="1BA06B15" w14:textId="77777777" w:rsidR="001C3BC8" w:rsidRDefault="001C3BC8" w:rsidP="001C3BC8">
      <w:pPr>
        <w:rPr>
          <w:rFonts w:ascii="Arial" w:hAnsi="Arial" w:cs="Arial"/>
          <w:b/>
          <w:sz w:val="20"/>
        </w:rPr>
      </w:pPr>
    </w:p>
    <w:p w14:paraId="7438BE8C" w14:textId="77777777" w:rsidR="001C3BC8" w:rsidRPr="00890E90" w:rsidRDefault="001C3BC8" w:rsidP="001C3BC8">
      <w:pPr>
        <w:rPr>
          <w:rFonts w:ascii="Arial" w:hAnsi="Arial" w:cs="Arial"/>
          <w:sz w:val="20"/>
        </w:rPr>
      </w:pPr>
      <w:r w:rsidRPr="00890E90">
        <w:rPr>
          <w:rFonts w:ascii="Arial" w:hAnsi="Arial" w:cs="Arial"/>
          <w:sz w:val="20"/>
        </w:rPr>
        <w:t>References in regards to the above information can be seen below:</w:t>
      </w:r>
    </w:p>
    <w:p w14:paraId="3FF2EA5C" w14:textId="77777777" w:rsidR="001C3BC8" w:rsidRPr="006C4E6E" w:rsidRDefault="001C3BC8" w:rsidP="001C3BC8">
      <w:pPr>
        <w:rPr>
          <w:rFonts w:ascii="Arial" w:hAnsi="Arial" w:cs="Arial"/>
          <w:b/>
          <w:sz w:val="20"/>
        </w:rPr>
      </w:pPr>
    </w:p>
    <w:tbl>
      <w:tblPr>
        <w:tblW w:w="98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7"/>
        <w:gridCol w:w="6833"/>
      </w:tblGrid>
      <w:tr w:rsidR="001C3BC8" w:rsidRPr="00B276D6" w14:paraId="279DD37A" w14:textId="77777777" w:rsidTr="009A1190">
        <w:trPr>
          <w:trHeight w:val="245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59BAB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color w:val="FFFFFF" w:themeColor="background1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>Cost savings (%)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1DD92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color w:val="FFFFFF" w:themeColor="background1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>References</w:t>
            </w:r>
          </w:p>
        </w:tc>
      </w:tr>
      <w:tr w:rsidR="001C3BC8" w:rsidRPr="00B276D6" w14:paraId="7B2BB414" w14:textId="77777777" w:rsidTr="009A1190">
        <w:trPr>
          <w:trHeight w:val="177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6B3F4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3.0%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2802B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Health Technology Assessment 2010; Vol. 14: No. 48, pg5</w:t>
            </w:r>
          </w:p>
        </w:tc>
      </w:tr>
      <w:tr w:rsidR="001C3BC8" w:rsidRPr="00B276D6" w14:paraId="2A426562" w14:textId="77777777" w:rsidTr="009A1190">
        <w:trPr>
          <w:trHeight w:val="195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867E3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7.6%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65CCA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J Am Med Inform Assoc 2012;</w:t>
            </w:r>
            <w:r w:rsidRPr="00B276D6">
              <w:rPr>
                <w:rFonts w:ascii="Arial" w:hAnsi="Arial" w:cs="Arial"/>
                <w:b/>
                <w:bCs/>
                <w:color w:val="000000"/>
                <w:kern w:val="24"/>
                <w:sz w:val="20"/>
                <w:lang w:eastAsia="en-GB"/>
              </w:rPr>
              <w:t>19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:439-442</w:t>
            </w:r>
          </w:p>
        </w:tc>
      </w:tr>
      <w:tr w:rsidR="001C3BC8" w:rsidRPr="00B276D6" w14:paraId="10AF4552" w14:textId="77777777" w:rsidTr="009A1190">
        <w:trPr>
          <w:trHeight w:val="213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83CB0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11.0%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D0ED8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Health Technology Assessment 2010; Vol. 14: No. 48, pg5</w:t>
            </w:r>
          </w:p>
        </w:tc>
      </w:tr>
      <w:tr w:rsidR="001C3BC8" w:rsidRPr="00B276D6" w14:paraId="521EE2CF" w14:textId="77777777" w:rsidTr="009A1190">
        <w:trPr>
          <w:trHeight w:val="217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30DE4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12.7%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8B906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Arch Intern Med Vol 163, June 23, 2003, 1409-1416</w:t>
            </w:r>
          </w:p>
        </w:tc>
      </w:tr>
      <w:tr w:rsidR="001C3BC8" w:rsidRPr="00B276D6" w14:paraId="2DE2CB6D" w14:textId="77777777" w:rsidTr="009A1190">
        <w:trPr>
          <w:trHeight w:val="235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011EB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color w:val="FFFFFF" w:themeColor="background1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 xml:space="preserve">Reduction in 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>LoS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>(%)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C1B5E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color w:val="FFFFFF" w:themeColor="background1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>References</w:t>
            </w:r>
          </w:p>
        </w:tc>
      </w:tr>
      <w:tr w:rsidR="001C3BC8" w:rsidRPr="00B276D6" w14:paraId="4AD3A046" w14:textId="77777777" w:rsidTr="009A1190">
        <w:trPr>
          <w:trHeight w:val="172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2EC1C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0.3%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8F45F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proofErr w:type="spellStart"/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Meacock</w:t>
            </w:r>
            <w:proofErr w:type="spellEnd"/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et al, Health Econ. (2014), 23: 1-13</w:t>
            </w:r>
          </w:p>
        </w:tc>
      </w:tr>
      <w:tr w:rsidR="001C3BC8" w:rsidRPr="00B276D6" w14:paraId="0A5728CD" w14:textId="77777777" w:rsidTr="009A1190">
        <w:trPr>
          <w:trHeight w:val="189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88D60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13.0%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45D96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Spinal Cord, 2013, 52, 165-169</w:t>
            </w:r>
          </w:p>
        </w:tc>
      </w:tr>
      <w:tr w:rsidR="001C3BC8" w:rsidRPr="00B276D6" w14:paraId="3A762549" w14:textId="77777777" w:rsidTr="009A1190">
        <w:trPr>
          <w:trHeight w:val="208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4E3C3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17.0%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29EE2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J Am Med Inform Assoc. 2005;12:398–402</w:t>
            </w:r>
          </w:p>
        </w:tc>
      </w:tr>
      <w:tr w:rsidR="001C3BC8" w:rsidRPr="00B276D6" w14:paraId="7EB9CD2D" w14:textId="77777777" w:rsidTr="009A1190">
        <w:trPr>
          <w:trHeight w:val="225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12B8C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21%, 27.6%, 35%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08562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 xml:space="preserve"> </w:t>
            </w:r>
            <w:r w:rsidRPr="00B276D6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JAMA. 2005;293:1223-1238</w:t>
            </w:r>
          </w:p>
        </w:tc>
      </w:tr>
      <w:tr w:rsidR="001C3BC8" w:rsidRPr="00B276D6" w14:paraId="11D933CB" w14:textId="77777777" w:rsidTr="009A1190">
        <w:trPr>
          <w:trHeight w:val="243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1299D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color w:val="FFFFFF" w:themeColor="background1"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lastRenderedPageBreak/>
              <w:t>Reference Number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64605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color w:val="FFFFFF" w:themeColor="background1"/>
                <w:sz w:val="20"/>
                <w:lang w:eastAsia="en-GB"/>
              </w:rPr>
            </w:pPr>
            <w:r w:rsidRPr="006C4E6E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 xml:space="preserve">Clinical Illustrations of 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>Deontics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 xml:space="preserve"> Effectiveness </w:t>
            </w:r>
            <w:r w:rsidRPr="00B276D6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lang w:eastAsia="en-GB"/>
              </w:rPr>
              <w:t>References</w:t>
            </w:r>
          </w:p>
        </w:tc>
      </w:tr>
      <w:tr w:rsidR="001C3BC8" w:rsidRPr="00B276D6" w14:paraId="03722951" w14:textId="77777777" w:rsidTr="009A1190">
        <w:trPr>
          <w:trHeight w:val="251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49D87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sz w:val="20"/>
                <w:lang w:eastAsia="en-GB"/>
              </w:rPr>
              <w:t>1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3C3961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hyperlink r:id="rId8" w:history="1">
              <w:r w:rsidRPr="00C05219">
                <w:rPr>
                  <w:rStyle w:val="Hyperlink"/>
                  <w:rFonts w:ascii="Arial" w:hAnsi="Arial" w:cs="Arial"/>
                  <w:sz w:val="20"/>
                </w:rPr>
                <w:t>https://bmjopen.bmj.com/content/7/3/e012935</w:t>
              </w:r>
            </w:hyperlink>
          </w:p>
        </w:tc>
      </w:tr>
      <w:tr w:rsidR="001C3BC8" w:rsidRPr="00B276D6" w14:paraId="494362A0" w14:textId="77777777" w:rsidTr="009A1190">
        <w:trPr>
          <w:trHeight w:val="241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7AB31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sz w:val="20"/>
                <w:lang w:eastAsia="en-GB"/>
              </w:rPr>
              <w:t>2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5F5B6E" w14:textId="127705DA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>
              <w:object w:dxaOrig="1520" w:dyaOrig="985" w14:anchorId="5109FB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64.8pt;height:42pt" o:ole="">
                  <v:imagedata r:id="rId9" o:title=""/>
                </v:shape>
                <o:OLEObject Type="Embed" ProgID="AcroExch.Document.DC" ShapeID="_x0000_i1032" DrawAspect="Icon" ObjectID="_1618382785" r:id="rId10"/>
              </w:object>
            </w:r>
          </w:p>
        </w:tc>
      </w:tr>
      <w:tr w:rsidR="001C3BC8" w:rsidRPr="00B276D6" w14:paraId="3C9045B9" w14:textId="77777777" w:rsidTr="009A1190">
        <w:trPr>
          <w:trHeight w:val="259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B81E5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sz w:val="20"/>
                <w:lang w:eastAsia="en-GB"/>
              </w:rPr>
              <w:t>3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230C00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>
              <w:object w:dxaOrig="1520" w:dyaOrig="985" w14:anchorId="06F5353B">
                <v:shape id="_x0000_i1026" type="#_x0000_t75" style="width:69pt;height:44.4pt" o:ole="">
                  <v:imagedata r:id="rId11" o:title=""/>
                </v:shape>
                <o:OLEObject Type="Embed" ProgID="AcroExch.Document.DC" ShapeID="_x0000_i1026" DrawAspect="Icon" ObjectID="_1618382786" r:id="rId12"/>
              </w:object>
            </w:r>
          </w:p>
        </w:tc>
      </w:tr>
      <w:tr w:rsidR="001C3BC8" w:rsidRPr="00B276D6" w14:paraId="5E75ABC9" w14:textId="77777777" w:rsidTr="009A1190">
        <w:trPr>
          <w:trHeight w:val="108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FAF5D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 w:rsidRPr="00C05219">
              <w:rPr>
                <w:rFonts w:ascii="Arial" w:hAnsi="Arial" w:cs="Arial"/>
                <w:color w:val="000000"/>
                <w:kern w:val="24"/>
                <w:sz w:val="20"/>
                <w:lang w:eastAsia="en-GB"/>
              </w:rPr>
              <w:t>4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873E82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hyperlink r:id="rId13" w:history="1">
              <w:r w:rsidRPr="00C05219">
                <w:rPr>
                  <w:rStyle w:val="Hyperlink"/>
                  <w:rFonts w:ascii="Arial" w:eastAsiaTheme="minorEastAsia" w:hAnsi="Arial" w:cs="Arial"/>
                  <w:kern w:val="24"/>
                  <w:sz w:val="20"/>
                </w:rPr>
                <w:t>https://www.ncbi.nlm.nih.gov/pubmed/30028418</w:t>
              </w:r>
            </w:hyperlink>
          </w:p>
        </w:tc>
      </w:tr>
      <w:tr w:rsidR="001C3BC8" w:rsidRPr="00B276D6" w14:paraId="7B891AFC" w14:textId="77777777" w:rsidTr="009A1190">
        <w:trPr>
          <w:trHeight w:val="253"/>
          <w:jc w:val="center"/>
        </w:trPr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C1E73" w14:textId="77777777" w:rsidR="001C3BC8" w:rsidRPr="00B276D6" w:rsidRDefault="001C3BC8" w:rsidP="009A1190">
            <w:pPr>
              <w:jc w:val="center"/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sz w:val="20"/>
                <w:lang w:eastAsia="en-GB"/>
              </w:rPr>
              <w:t>5</w:t>
            </w:r>
          </w:p>
        </w:tc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91936" w14:textId="77777777" w:rsidR="001C3BC8" w:rsidRPr="00B276D6" w:rsidRDefault="001C3BC8" w:rsidP="009A1190">
            <w:pPr>
              <w:textAlignment w:val="center"/>
              <w:rPr>
                <w:rFonts w:ascii="Arial" w:hAnsi="Arial" w:cs="Arial"/>
                <w:sz w:val="20"/>
                <w:lang w:eastAsia="en-GB"/>
              </w:rPr>
            </w:pPr>
            <w:r>
              <w:object w:dxaOrig="1520" w:dyaOrig="985" w14:anchorId="0807CA0A">
                <v:shape id="_x0000_i1027" type="#_x0000_t75" style="width:66pt;height:42.6pt" o:ole="">
                  <v:imagedata r:id="rId14" o:title=""/>
                </v:shape>
                <o:OLEObject Type="Embed" ProgID="AcroExch.Document.DC" ShapeID="_x0000_i1027" DrawAspect="Icon" ObjectID="_1618382787" r:id="rId15"/>
              </w:object>
            </w:r>
          </w:p>
        </w:tc>
      </w:tr>
    </w:tbl>
    <w:p w14:paraId="55DD24D0" w14:textId="77777777" w:rsidR="001C3BC8" w:rsidRDefault="001C3BC8" w:rsidP="001C3BC8">
      <w:pPr>
        <w:rPr>
          <w:rFonts w:ascii="Arial" w:hAnsi="Arial" w:cs="Arial"/>
          <w:sz w:val="20"/>
        </w:rPr>
      </w:pPr>
    </w:p>
    <w:p w14:paraId="1FDA35BA" w14:textId="77777777" w:rsidR="001C3BC8" w:rsidRDefault="001C3BC8" w:rsidP="001C3BC8">
      <w:pPr>
        <w:rPr>
          <w:rFonts w:asciiTheme="majorHAnsi" w:hAnsiTheme="majorHAnsi" w:cstheme="majorHAnsi"/>
        </w:rPr>
      </w:pPr>
    </w:p>
    <w:p w14:paraId="114BE535" w14:textId="77777777" w:rsidR="001C3BC8" w:rsidRPr="00C12626" w:rsidRDefault="001C3BC8" w:rsidP="001C3BC8">
      <w:pPr>
        <w:rPr>
          <w:rFonts w:asciiTheme="majorHAnsi" w:hAnsiTheme="majorHAnsi" w:cstheme="majorHAnsi"/>
        </w:rPr>
      </w:pPr>
    </w:p>
    <w:p w14:paraId="389817F9" w14:textId="77777777" w:rsidR="00C12626" w:rsidRDefault="00C12626" w:rsidP="00C12626">
      <w:pPr>
        <w:rPr>
          <w:b/>
          <w:sz w:val="40"/>
          <w:szCs w:val="40"/>
        </w:rPr>
      </w:pPr>
    </w:p>
    <w:sectPr w:rsidR="00C12626" w:rsidSect="00F74C28">
      <w:footerReference w:type="default" r:id="rId16"/>
      <w:headerReference w:type="first" r:id="rId17"/>
      <w:footerReference w:type="first" r:id="rId18"/>
      <w:pgSz w:w="11906" w:h="16838" w:code="9"/>
      <w:pgMar w:top="1135" w:right="709" w:bottom="709" w:left="709" w:header="397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CFD85" w14:textId="77777777" w:rsidR="00D22029" w:rsidRDefault="00D22029">
      <w:r>
        <w:separator/>
      </w:r>
    </w:p>
  </w:endnote>
  <w:endnote w:type="continuationSeparator" w:id="0">
    <w:p w14:paraId="76A6AB39" w14:textId="77777777" w:rsidR="00D22029" w:rsidRDefault="00D22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79F7B" w14:textId="77777777" w:rsidR="00AE4C8A" w:rsidRDefault="00AE4C8A">
    <w:pPr>
      <w:pStyle w:val="Footer"/>
      <w:rPr>
        <w:rFonts w:ascii="Arial" w:hAnsi="Arial"/>
        <w:sz w:val="20"/>
      </w:rPr>
    </w:pPr>
    <w:r>
      <w:rPr>
        <w:rStyle w:val="PageNumber"/>
        <w:rFonts w:ascii="Arial" w:hAnsi="Arial"/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104B3" w14:textId="77777777" w:rsidR="00AE4C8A" w:rsidRDefault="00AE4C8A">
    <w:pPr>
      <w:pStyle w:val="Footer"/>
      <w:rPr>
        <w:noProof/>
        <w:sz w:val="20"/>
      </w:rPr>
    </w:pPr>
  </w:p>
  <w:p w14:paraId="5DDE2D74" w14:textId="77777777" w:rsidR="00AE4C8A" w:rsidRDefault="00AE4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40194" w14:textId="77777777" w:rsidR="00D22029" w:rsidRDefault="00D22029">
      <w:r>
        <w:separator/>
      </w:r>
    </w:p>
  </w:footnote>
  <w:footnote w:type="continuationSeparator" w:id="0">
    <w:p w14:paraId="650BCFC6" w14:textId="77777777" w:rsidR="00D22029" w:rsidRDefault="00D22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4A2EA" w14:textId="77777777" w:rsidR="00AE4C8A" w:rsidRDefault="006D5F81">
    <w:pPr>
      <w:pStyle w:val="Header"/>
      <w:tabs>
        <w:tab w:val="left" w:pos="0"/>
      </w:tabs>
    </w:pPr>
    <w:r>
      <w:rPr>
        <w:noProof/>
        <w:lang w:val="en-US"/>
      </w:rPr>
      <w:drawing>
        <wp:inline distT="0" distB="0" distL="0" distR="0" wp14:anchorId="1C2352D0" wp14:editId="122CB7E1">
          <wp:extent cx="6660515" cy="838200"/>
          <wp:effectExtent l="0" t="0" r="6985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51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A2AD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8A97AF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BD17F2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BFB565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0347C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4FD70C6"/>
    <w:multiLevelType w:val="hybridMultilevel"/>
    <w:tmpl w:val="6C3A7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349B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DD935F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35C289A"/>
    <w:multiLevelType w:val="singleLevel"/>
    <w:tmpl w:val="040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8130BD0"/>
    <w:multiLevelType w:val="hybridMultilevel"/>
    <w:tmpl w:val="AB9CE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431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5814E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1266C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A8E276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B9922A8"/>
    <w:multiLevelType w:val="singleLevel"/>
    <w:tmpl w:val="5CB63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 w15:restartNumberingAfterBreak="0">
    <w:nsid w:val="44467A5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494FE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DE0C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C424A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D9D2CF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FCF52BE"/>
    <w:multiLevelType w:val="hybridMultilevel"/>
    <w:tmpl w:val="0AD4AB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C38D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E0343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142494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14F3100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4B213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ECA5CDF"/>
    <w:multiLevelType w:val="hybridMultilevel"/>
    <w:tmpl w:val="1DAE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72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1"/>
    <w:lvlOverride w:ilvl="0">
      <w:lvl w:ilvl="0">
        <w:start w:val="1"/>
        <w:numFmt w:val="bullet"/>
        <w:lvlText w:val=""/>
        <w:legacy w:legacy="1" w:legacySpace="0" w:legacyIndent="283"/>
        <w:lvlJc w:val="left"/>
        <w:pPr>
          <w:ind w:left="343" w:hanging="283"/>
        </w:pPr>
        <w:rPr>
          <w:rFonts w:ascii="Wingdings" w:hAnsi="Wingdings" w:hint="default"/>
          <w:b w:val="0"/>
          <w:i w:val="0"/>
          <w:sz w:val="21"/>
          <w:u w:val="none"/>
        </w:rPr>
      </w:lvl>
    </w:lvlOverride>
  </w:num>
  <w:num w:numId="3">
    <w:abstractNumId w:val="11"/>
  </w:num>
  <w:num w:numId="4">
    <w:abstractNumId w:val="23"/>
  </w:num>
  <w:num w:numId="5">
    <w:abstractNumId w:val="22"/>
  </w:num>
  <w:num w:numId="6">
    <w:abstractNumId w:val="26"/>
  </w:num>
  <w:num w:numId="7">
    <w:abstractNumId w:val="24"/>
  </w:num>
  <w:num w:numId="8">
    <w:abstractNumId w:val="8"/>
  </w:num>
  <w:num w:numId="9">
    <w:abstractNumId w:val="20"/>
  </w:num>
  <w:num w:numId="10">
    <w:abstractNumId w:val="13"/>
  </w:num>
  <w:num w:numId="11">
    <w:abstractNumId w:val="15"/>
  </w:num>
  <w:num w:numId="12">
    <w:abstractNumId w:val="17"/>
  </w:num>
  <w:num w:numId="13">
    <w:abstractNumId w:val="3"/>
  </w:num>
  <w:num w:numId="14">
    <w:abstractNumId w:val="5"/>
  </w:num>
  <w:num w:numId="15">
    <w:abstractNumId w:val="18"/>
  </w:num>
  <w:num w:numId="16">
    <w:abstractNumId w:val="14"/>
  </w:num>
  <w:num w:numId="17">
    <w:abstractNumId w:val="19"/>
  </w:num>
  <w:num w:numId="18">
    <w:abstractNumId w:val="7"/>
  </w:num>
  <w:num w:numId="19">
    <w:abstractNumId w:val="12"/>
  </w:num>
  <w:num w:numId="20">
    <w:abstractNumId w:val="25"/>
  </w:num>
  <w:num w:numId="21">
    <w:abstractNumId w:val="4"/>
  </w:num>
  <w:num w:numId="22">
    <w:abstractNumId w:val="9"/>
  </w:num>
  <w:num w:numId="23">
    <w:abstractNumId w:val="16"/>
  </w:num>
  <w:num w:numId="24">
    <w:abstractNumId w:val="2"/>
  </w:num>
  <w:num w:numId="25">
    <w:abstractNumId w:val="0"/>
  </w:num>
  <w:num w:numId="26">
    <w:abstractNumId w:val="21"/>
  </w:num>
  <w:num w:numId="27">
    <w:abstractNumId w:val="10"/>
  </w:num>
  <w:num w:numId="28">
    <w:abstractNumId w:val="2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defaultTabStop w:val="284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546"/>
    <w:rsid w:val="00065C12"/>
    <w:rsid w:val="000942AC"/>
    <w:rsid w:val="000A7CEE"/>
    <w:rsid w:val="001C3BC8"/>
    <w:rsid w:val="001D2E08"/>
    <w:rsid w:val="0023388F"/>
    <w:rsid w:val="002577BD"/>
    <w:rsid w:val="002C3BCB"/>
    <w:rsid w:val="003E78AE"/>
    <w:rsid w:val="00472D9E"/>
    <w:rsid w:val="004B6E92"/>
    <w:rsid w:val="006A0485"/>
    <w:rsid w:val="006D3E46"/>
    <w:rsid w:val="006D5F81"/>
    <w:rsid w:val="006E0723"/>
    <w:rsid w:val="00755D71"/>
    <w:rsid w:val="007804CD"/>
    <w:rsid w:val="008417E2"/>
    <w:rsid w:val="0085554A"/>
    <w:rsid w:val="00876EFF"/>
    <w:rsid w:val="00973377"/>
    <w:rsid w:val="009E208E"/>
    <w:rsid w:val="00A14546"/>
    <w:rsid w:val="00A15E9E"/>
    <w:rsid w:val="00A46115"/>
    <w:rsid w:val="00A832F4"/>
    <w:rsid w:val="00AA432F"/>
    <w:rsid w:val="00AE4C8A"/>
    <w:rsid w:val="00BF774C"/>
    <w:rsid w:val="00C12626"/>
    <w:rsid w:val="00C67E93"/>
    <w:rsid w:val="00D07ACE"/>
    <w:rsid w:val="00D22029"/>
    <w:rsid w:val="00D24CCC"/>
    <w:rsid w:val="00D34AAC"/>
    <w:rsid w:val="00E745EA"/>
    <w:rsid w:val="00F74C28"/>
    <w:rsid w:val="00F866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D8E14"/>
  <w15:docId w15:val="{B2F96084-CB73-4D3C-9D1C-E044D7C4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6EE"/>
    <w:rPr>
      <w:sz w:val="24"/>
      <w:lang w:val="en-GB"/>
    </w:rPr>
  </w:style>
  <w:style w:type="paragraph" w:styleId="Heading1">
    <w:name w:val="heading 1"/>
    <w:basedOn w:val="Normal"/>
    <w:next w:val="Normal"/>
    <w:qFormat/>
    <w:rsid w:val="007C76EE"/>
    <w:pPr>
      <w:keepNext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Heading2">
    <w:name w:val="heading 2"/>
    <w:basedOn w:val="Normal"/>
    <w:next w:val="Normal"/>
    <w:qFormat/>
    <w:rsid w:val="007C76EE"/>
    <w:pPr>
      <w:keepNext/>
      <w:jc w:val="right"/>
      <w:outlineLvl w:val="1"/>
    </w:pPr>
    <w:rPr>
      <w:rFonts w:ascii="Arial" w:hAnsi="Arial"/>
      <w:sz w:val="72"/>
    </w:rPr>
  </w:style>
  <w:style w:type="paragraph" w:styleId="Heading3">
    <w:name w:val="heading 3"/>
    <w:basedOn w:val="Normal"/>
    <w:next w:val="Normal"/>
    <w:qFormat/>
    <w:rsid w:val="007C76EE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rsid w:val="007C76EE"/>
    <w:pPr>
      <w:keepNext/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basedOn w:val="Normal"/>
    <w:rsid w:val="007C76EE"/>
    <w:rPr>
      <w:rFonts w:ascii="Garamond" w:hAnsi="Garamond"/>
      <w:b/>
      <w:color w:val="FFFFFF"/>
      <w:spacing w:val="-20"/>
      <w:kern w:val="2"/>
      <w:sz w:val="66"/>
    </w:rPr>
  </w:style>
  <w:style w:type="paragraph" w:customStyle="1" w:styleId="Paragraphheading">
    <w:name w:val="Paragraph heading"/>
    <w:basedOn w:val="Normal"/>
    <w:rsid w:val="007C76EE"/>
    <w:pPr>
      <w:spacing w:line="240" w:lineRule="exact"/>
    </w:pPr>
    <w:rPr>
      <w:rFonts w:ascii="Franklin Gothic Heavy" w:hAnsi="Franklin Gothic Heavy"/>
      <w:sz w:val="16"/>
    </w:rPr>
  </w:style>
  <w:style w:type="character" w:styleId="Hyperlink">
    <w:name w:val="Hyperlink"/>
    <w:basedOn w:val="DefaultParagraphFont"/>
    <w:rsid w:val="007C76EE"/>
    <w:rPr>
      <w:color w:val="0000FF"/>
      <w:u w:val="single"/>
    </w:rPr>
  </w:style>
  <w:style w:type="paragraph" w:styleId="BodyText">
    <w:name w:val="Body Text"/>
    <w:basedOn w:val="Normal"/>
    <w:rsid w:val="007C76EE"/>
    <w:pPr>
      <w:spacing w:after="220" w:line="180" w:lineRule="atLeast"/>
      <w:jc w:val="both"/>
    </w:pPr>
    <w:rPr>
      <w:rFonts w:ascii="Arial" w:hAnsi="Arial"/>
      <w:spacing w:val="-5"/>
      <w:sz w:val="20"/>
    </w:rPr>
  </w:style>
  <w:style w:type="character" w:styleId="Emphasis">
    <w:name w:val="Emphasis"/>
    <w:qFormat/>
    <w:rsid w:val="007C76EE"/>
    <w:rPr>
      <w:rFonts w:ascii="Arial Black" w:hAnsi="Arial Black"/>
      <w:sz w:val="18"/>
    </w:rPr>
  </w:style>
  <w:style w:type="paragraph" w:styleId="MessageHeader">
    <w:name w:val="Message Header"/>
    <w:basedOn w:val="BodyText"/>
    <w:rsid w:val="007C76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7C76EE"/>
  </w:style>
  <w:style w:type="character" w:customStyle="1" w:styleId="MessageHeaderLabel">
    <w:name w:val="Message Header Label"/>
    <w:rsid w:val="007C76EE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rsid w:val="007C76EE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Header">
    <w:name w:val="header"/>
    <w:basedOn w:val="Normal"/>
    <w:rsid w:val="007C76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76EE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autoRedefine/>
    <w:rsid w:val="007C76EE"/>
  </w:style>
  <w:style w:type="character" w:styleId="FollowedHyperlink">
    <w:name w:val="FollowedHyperlink"/>
    <w:basedOn w:val="DefaultParagraphFont"/>
    <w:rsid w:val="007C76EE"/>
    <w:rPr>
      <w:color w:val="800080"/>
      <w:u w:val="single"/>
    </w:rPr>
  </w:style>
  <w:style w:type="character" w:styleId="PageNumber">
    <w:name w:val="page number"/>
    <w:basedOn w:val="DefaultParagraphFont"/>
    <w:rsid w:val="007C76EE"/>
  </w:style>
  <w:style w:type="paragraph" w:styleId="NormalWeb">
    <w:name w:val="Normal (Web)"/>
    <w:basedOn w:val="Normal"/>
    <w:uiPriority w:val="99"/>
    <w:rsid w:val="007C76EE"/>
    <w:pPr>
      <w:spacing w:before="100" w:beforeAutospacing="1" w:after="100" w:afterAutospacing="1"/>
    </w:pPr>
  </w:style>
  <w:style w:type="paragraph" w:styleId="Caption">
    <w:name w:val="caption"/>
    <w:aliases w:val="caption"/>
    <w:basedOn w:val="Normal"/>
    <w:uiPriority w:val="35"/>
    <w:rsid w:val="003622BE"/>
    <w:pPr>
      <w:spacing w:before="100" w:beforeAutospacing="1" w:after="100" w:afterAutospacing="1"/>
    </w:pPr>
    <w:rPr>
      <w:rFonts w:ascii="Times" w:hAnsi="Times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E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E46"/>
    <w:rPr>
      <w:rFonts w:ascii="Tahoma" w:hAnsi="Tahoma" w:cs="Tahoma"/>
      <w:sz w:val="16"/>
      <w:szCs w:val="16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546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546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F74C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GridTable4-Accent5">
    <w:name w:val="Grid Table 4 Accent 5"/>
    <w:basedOn w:val="TableNormal"/>
    <w:uiPriority w:val="49"/>
    <w:rsid w:val="001C3BC8"/>
    <w:rPr>
      <w:rFonts w:asciiTheme="minorHAnsi" w:eastAsiaTheme="minorHAnsi" w:hAnsiTheme="minorHAnsi" w:cstheme="minorBidi"/>
      <w:sz w:val="22"/>
      <w:szCs w:val="22"/>
      <w:lang w:val="en-GB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3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mjopen.bmj.com/content/7/3/e012935" TargetMode="External"/><Relationship Id="rId13" Type="http://schemas.openxmlformats.org/officeDocument/2006/relationships/hyperlink" Target="https://www.ncbi.nlm.nih.gov/pubmed/30028418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ealth%20Insights%20Template\Health%20Insights%20Letterhead%20September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EA865-34B4-4001-8784-8E946B165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 Insights Letterhead September 2014</Template>
  <TotalTime>0</TotalTime>
  <Pages>3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4605</CharactersWithSpaces>
  <SharedDoc>false</SharedDoc>
  <HLinks>
    <vt:vector size="18" baseType="variant">
      <vt:variant>
        <vt:i4>6881384</vt:i4>
      </vt:variant>
      <vt:variant>
        <vt:i4>2049</vt:i4>
      </vt:variant>
      <vt:variant>
        <vt:i4>1027</vt:i4>
      </vt:variant>
      <vt:variant>
        <vt:i4>1</vt:i4>
      </vt:variant>
      <vt:variant>
        <vt:lpwstr>hi</vt:lpwstr>
      </vt:variant>
      <vt:variant>
        <vt:lpwstr/>
      </vt:variant>
      <vt:variant>
        <vt:i4>6881347</vt:i4>
      </vt:variant>
      <vt:variant>
        <vt:i4>2056</vt:i4>
      </vt:variant>
      <vt:variant>
        <vt:i4>1025</vt:i4>
      </vt:variant>
      <vt:variant>
        <vt:i4>1</vt:i4>
      </vt:variant>
      <vt:variant>
        <vt:lpwstr>hi+</vt:lpwstr>
      </vt:variant>
      <vt:variant>
        <vt:lpwstr/>
      </vt:variant>
      <vt:variant>
        <vt:i4>6619155</vt:i4>
      </vt:variant>
      <vt:variant>
        <vt:i4>2060</vt:i4>
      </vt:variant>
      <vt:variant>
        <vt:i4>1026</vt:i4>
      </vt:variant>
      <vt:variant>
        <vt:i4>1</vt:i4>
      </vt:variant>
      <vt:variant>
        <vt:lpwstr>address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Priscilla</dc:creator>
  <cp:lastModifiedBy> </cp:lastModifiedBy>
  <cp:revision>2</cp:revision>
  <cp:lastPrinted>2019-05-02T16:14:00Z</cp:lastPrinted>
  <dcterms:created xsi:type="dcterms:W3CDTF">2019-05-03T08:58:00Z</dcterms:created>
  <dcterms:modified xsi:type="dcterms:W3CDTF">2019-05-03T08:58:00Z</dcterms:modified>
</cp:coreProperties>
</file>